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V</w:t>
      </w:r>
      <w:r w:rsidDel="00000000" w:rsidR="00000000" w:rsidRPr="00000000">
        <w:rPr>
          <w:rFonts w:ascii="Calibri" w:cs="Calibri" w:eastAsia="Calibri" w:hAnsi="Calibri"/>
          <w:b w:val="1"/>
          <w:bCs w:val="1"/>
          <w:color w:val="000000"/>
          <w:sz w:val="24"/>
          <w:szCs w:val="24"/>
          <w:rtl w:val="0"/>
        </w:rPr>
        <w:t xml:space="preserve">erslag van de vergadering van de Gemeenschappelijke Medezeggenschapsraad Amstelwijs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26-01-2026</w:t>
      </w:r>
    </w:p>
    <w:p w:rsidR="00000000" w:rsidDel="00000000" w:rsidP="00000000" w:rsidRDefault="00000000" w:rsidRPr="00000000" w14:paraId="00000003">
      <w:pPr>
        <w:tabs>
          <w:tab w:val="left" w:leader="none" w:pos="3"/>
        </w:tabs>
        <w:ind w:right="-141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right="-141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Mededelingen</w:t>
      </w:r>
    </w:p>
    <w:p w:rsidR="00000000" w:rsidDel="00000000" w:rsidP="00000000" w:rsidRDefault="00000000" w:rsidRPr="00000000" w14:paraId="00000005">
      <w:pPr>
        <w:numPr>
          <w:ilvl w:val="0"/>
          <w:numId w:val="4"/>
        </w:numPr>
        <w:tabs>
          <w:tab w:val="left" w:leader="none" w:pos="7230"/>
          <w:tab w:val="left" w:leader="none" w:pos="7507"/>
        </w:tabs>
        <w:ind w:left="425" w:right="-142"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besluitenlijst en het verslag van de GMR vergadering van 01-12-2025 zijn goedgekeurd. Het korte verslag staat op de Amstelwijs website.</w:t>
      </w:r>
    </w:p>
    <w:p w:rsidR="00000000" w:rsidDel="00000000" w:rsidP="00000000" w:rsidRDefault="00000000" w:rsidRPr="00000000" w14:paraId="00000006">
      <w:pPr>
        <w:numPr>
          <w:ilvl w:val="0"/>
          <w:numId w:val="4"/>
        </w:numPr>
        <w:tabs>
          <w:tab w:val="left" w:leader="none" w:pos="7230"/>
          <w:tab w:val="left" w:leader="none" w:pos="7507"/>
        </w:tabs>
        <w:ind w:left="425" w:right="-142"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betreft de mogelijkheid om een studieschuld versneld af te lossen, genoemd in de cao-po, heeft de directeur- bestuurder toegezegd onder de werknemers te inventariseren hoeveel personen hiervoor in aanmerking wensen te komen en als dat een acceptabele uitgave is, dan zijn er binnen de WKR mogelijkheden. </w:t>
      </w:r>
    </w:p>
    <w:p w:rsidR="00000000" w:rsidDel="00000000" w:rsidP="00000000" w:rsidRDefault="00000000" w:rsidRPr="00000000" w14:paraId="00000007">
      <w:pPr>
        <w:numPr>
          <w:ilvl w:val="0"/>
          <w:numId w:val="4"/>
        </w:numPr>
        <w:tabs>
          <w:tab w:val="left" w:leader="none" w:pos="7230"/>
          <w:tab w:val="left" w:leader="none" w:pos="7507"/>
        </w:tabs>
        <w:ind w:left="425" w:right="-142"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coördinator van de werkgroep interne begeleiding is bereid mee te werken aan een thema bijeenkomst over de zorg voor leerlingen met een speciale onderwijsbehoefte.</w:t>
      </w:r>
    </w:p>
    <w:p w:rsidR="00000000" w:rsidDel="00000000" w:rsidP="00000000" w:rsidRDefault="00000000" w:rsidRPr="00000000" w14:paraId="00000008">
      <w:pPr>
        <w:numPr>
          <w:ilvl w:val="0"/>
          <w:numId w:val="4"/>
        </w:numPr>
        <w:tabs>
          <w:tab w:val="left" w:leader="none" w:pos="7230"/>
          <w:tab w:val="left" w:leader="none" w:pos="7507"/>
        </w:tabs>
        <w:ind w:left="425" w:right="-142"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GMR jaarverslag wordt ongewijzigd goedgekeurd en zal als bijlage worden toegevoegd aan het bestuursjaarverslag 2025.</w:t>
      </w:r>
    </w:p>
    <w:p w:rsidR="00000000" w:rsidDel="00000000" w:rsidP="00000000" w:rsidRDefault="00000000" w:rsidRPr="00000000" w14:paraId="00000009">
      <w:pPr>
        <w:tabs>
          <w:tab w:val="left" w:leader="none" w:pos="7230"/>
          <w:tab w:val="left" w:leader="none" w:pos="7507"/>
        </w:tabs>
        <w:ind w:left="720" w:right="-14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leader="none" w:pos="540"/>
          <w:tab w:val="left" w:leader="none" w:pos="847"/>
          <w:tab w:val="left" w:leader="none" w:pos="7222"/>
          <w:tab w:val="left" w:leader="none" w:pos="7500"/>
        </w:tabs>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1"/>
          <w:bCs w:val="1"/>
          <w:sz w:val="24"/>
          <w:szCs w:val="24"/>
          <w:rtl w:val="0"/>
        </w:rPr>
        <w:t xml:space="preserve">ededelingen directeur-bestuurder</w:t>
      </w:r>
      <w:r w:rsidDel="00000000" w:rsidR="00000000" w:rsidRPr="00000000">
        <w:rPr>
          <w:rtl w:val="0"/>
        </w:rPr>
      </w:r>
    </w:p>
    <w:p w:rsidR="00000000" w:rsidDel="00000000" w:rsidP="00000000" w:rsidRDefault="00000000" w:rsidRPr="00000000" w14:paraId="0000000B">
      <w:pPr>
        <w:tabs>
          <w:tab w:val="left" w:leader="none" w:pos="7230"/>
          <w:tab w:val="left" w:leader="none" w:pos="7507"/>
        </w:tabs>
        <w:ind w:right="-15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Stand van zaken voorgenomen fusie</w:t>
      </w:r>
    </w:p>
    <w:p w:rsidR="00000000" w:rsidDel="00000000" w:rsidP="00000000" w:rsidRDefault="00000000" w:rsidRPr="00000000" w14:paraId="0000000C">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 wordt op twee manieren gecommuniceerd naar de achterban: actief via nieuwsbrieven en ouder communicatiekanalen en passief via een tijdelijke  website; </w:t>
      </w:r>
      <w:hyperlink r:id="rId7">
        <w:r w:rsidDel="00000000" w:rsidR="00000000" w:rsidRPr="00000000">
          <w:rPr>
            <w:rFonts w:ascii="Calibri" w:cs="Calibri" w:eastAsia="Calibri" w:hAnsi="Calibri"/>
            <w:color w:val="1155cc"/>
            <w:sz w:val="22"/>
            <w:szCs w:val="22"/>
            <w:u w:val="single"/>
            <w:rtl w:val="0"/>
          </w:rPr>
          <w:t xml:space="preserve">https://samenwerkingawenoga.nl/</w:t>
        </w:r>
      </w:hyperlink>
      <w:r w:rsidDel="00000000" w:rsidR="00000000" w:rsidRPr="00000000">
        <w:rPr>
          <w:rtl w:val="0"/>
        </w:rPr>
      </w:r>
    </w:p>
    <w:p w:rsidR="00000000" w:rsidDel="00000000" w:rsidP="00000000" w:rsidRDefault="00000000" w:rsidRPr="00000000" w14:paraId="0000000D">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overleg met de vakbonden zal op korte termijn plaatsvinden. De bestuurder verwacht geen blokkades: het verschil in secundaire voorwaarden wordt gecompenseerd en de beide functieboeken blijven ongewijzigd tot 2027; </w:t>
      </w:r>
    </w:p>
    <w:p w:rsidR="00000000" w:rsidDel="00000000" w:rsidP="00000000" w:rsidRDefault="00000000" w:rsidRPr="00000000" w14:paraId="0000000E">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bestuursnummer van Amstelwijs blijft bestaan; de procedure om te komen tot een nieuwe naam is opgestart; </w:t>
      </w:r>
    </w:p>
    <w:p w:rsidR="00000000" w:rsidDel="00000000" w:rsidP="00000000" w:rsidRDefault="00000000" w:rsidRPr="00000000" w14:paraId="0000000F">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portefeuilles voor het nieuw te vormen CvB zijn op hoofdlijnen verdeeld. Dit zal besproken worden met de RvT en de directies van de stichtingen. </w:t>
      </w:r>
    </w:p>
    <w:p w:rsidR="00000000" w:rsidDel="00000000" w:rsidP="00000000" w:rsidRDefault="00000000" w:rsidRPr="00000000" w14:paraId="00000010">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directies van Amstelwijs en Amstelland bespreken het samengaan en de organisatie van het toekomstig directieoverleg;</w:t>
      </w:r>
    </w:p>
    <w:p w:rsidR="00000000" w:rsidDel="00000000" w:rsidP="00000000" w:rsidRDefault="00000000" w:rsidRPr="00000000" w14:paraId="00000011">
      <w:pPr>
        <w:numPr>
          <w:ilvl w:val="0"/>
          <w:numId w:val="1"/>
        </w:numPr>
        <w:ind w:left="425" w:right="-150"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werkgroep organiseert aan het begin van schooljaar 2026-2027 een fusie festival.</w:t>
      </w:r>
    </w:p>
    <w:p w:rsidR="00000000" w:rsidDel="00000000" w:rsidP="00000000" w:rsidRDefault="00000000" w:rsidRPr="00000000" w14:paraId="00000012">
      <w:pPr>
        <w:tabs>
          <w:tab w:val="left" w:leader="none" w:pos="7230"/>
          <w:tab w:val="left" w:leader="none" w:pos="7507"/>
        </w:tabs>
        <w:ind w:right="-15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Statuten bestuur</w:t>
      </w:r>
    </w:p>
    <w:p w:rsidR="00000000" w:rsidDel="00000000" w:rsidP="00000000" w:rsidRDefault="00000000" w:rsidRPr="00000000" w14:paraId="00000013">
      <w:pPr>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aangepaste Statuten van het bestuur zijn goedgekeurd door de gemeenteraden. Wettelijke bepalingen van het Statuut van Amstelland (bijzonder onderwijs) waren daarbij het uitgangspunt. In het statuut wordt steeds verwezen naar wetteksten, zodat niet bij iedere wettelijke verandering het statuut aangepast moet worden. Het doel van de stichting is wederkerig en de portefeuilles openbaar en bijzonder onderwijs zijn in de wet, statuten en reglement verankerd.</w:t>
      </w:r>
    </w:p>
    <w:p w:rsidR="00000000" w:rsidDel="00000000" w:rsidP="00000000" w:rsidRDefault="00000000" w:rsidRPr="00000000" w14:paraId="00000014">
      <w:pPr>
        <w:ind w:right="-15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Raad van Toezicht</w:t>
      </w:r>
    </w:p>
    <w:p w:rsidR="00000000" w:rsidDel="00000000" w:rsidP="00000000" w:rsidRDefault="00000000" w:rsidRPr="00000000" w14:paraId="00000015">
      <w:pPr>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Vanaf de zomervakantie zullen de beide raden als één raad gaan functioneren. Er wordt een reglement en een samenwerkingsovereenkomst opgesteld, waarin is opgenomen dat bepaalde beslissingen niet meer mogen worden genomen, zonder toestemming van de ander. </w:t>
      </w:r>
    </w:p>
    <w:p w:rsidR="00000000" w:rsidDel="00000000" w:rsidP="00000000" w:rsidRDefault="00000000" w:rsidRPr="00000000" w14:paraId="00000016">
      <w:pPr>
        <w:ind w:right="-15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ind w:right="-15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Statuut medezeggenschap en GMR reglementen</w:t>
      </w:r>
    </w:p>
    <w:p w:rsidR="00000000" w:rsidDel="00000000" w:rsidP="00000000" w:rsidRDefault="00000000" w:rsidRPr="00000000" w14:paraId="00000018">
      <w:pPr>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Statuut medezeggenschap wordt aangeboden door Amstelwijs en is van toepassing op MR en GMR. Er wordt een foutief vermeld jaartal aangepast en er wordt toegevoegd dat het bevoegd gezag de GMR pro-actief moet wijzen op zijn rechten. Na het doorvoeren van deze aanpassingen wordt er met de vereiste ⅔ meerderheid mee ingestemd.</w:t>
      </w:r>
    </w:p>
    <w:p w:rsidR="00000000" w:rsidDel="00000000" w:rsidP="00000000" w:rsidRDefault="00000000" w:rsidRPr="00000000" w14:paraId="00000019">
      <w:pPr>
        <w:ind w:right="-15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A">
      <w:pPr>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GMR reglement wordt het dagelijks bestuur van de GMR nader omschreven. In het huishoudelijk reglement wordt de benoeming van de ambtelijk secretaris toegevoegd en is de aanwezigheid van leden bij een stemming aangepast.</w:t>
      </w:r>
    </w:p>
    <w:p w:rsidR="00000000" w:rsidDel="00000000" w:rsidP="00000000" w:rsidRDefault="00000000" w:rsidRPr="00000000" w14:paraId="0000001B">
      <w:pPr>
        <w:ind w:right="-15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C">
      <w:pPr>
        <w:tabs>
          <w:tab w:val="left" w:leader="none" w:pos="7230"/>
          <w:tab w:val="left" w:leader="none" w:pos="7507"/>
        </w:tabs>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Statuut en reglementen zullen in 2026 met de GMR van Amstelland opnieuw opgesteld worden.</w:t>
      </w:r>
    </w:p>
    <w:p w:rsidR="00000000" w:rsidDel="00000000" w:rsidP="00000000" w:rsidRDefault="00000000" w:rsidRPr="00000000" w14:paraId="0000001D">
      <w:pPr>
        <w:tabs>
          <w:tab w:val="left" w:leader="none" w:pos="7230"/>
          <w:tab w:val="left" w:leader="none" w:pos="7507"/>
        </w:tabs>
        <w:ind w:right="-15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E">
      <w:pPr>
        <w:tabs>
          <w:tab w:val="left" w:leader="none" w:pos="7230"/>
          <w:tab w:val="left" w:leader="none" w:pos="7507"/>
        </w:tabs>
        <w:ind w:right="-142"/>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Voortgangsrapportage II </w:t>
      </w:r>
      <w:r w:rsidDel="00000000" w:rsidR="00000000" w:rsidRPr="00000000">
        <w:rPr>
          <w:rFonts w:ascii="Calibri" w:cs="Calibri" w:eastAsia="Calibri" w:hAnsi="Calibri"/>
          <w:sz w:val="24"/>
          <w:szCs w:val="24"/>
          <w:rtl w:val="0"/>
        </w:rPr>
        <w:t xml:space="preserve">(november 2025)</w:t>
      </w:r>
    </w:p>
    <w:p w:rsidR="00000000" w:rsidDel="00000000" w:rsidP="00000000" w:rsidRDefault="00000000" w:rsidRPr="00000000" w14:paraId="0000001F">
      <w:pPr>
        <w:numPr>
          <w:ilvl w:val="0"/>
          <w:numId w:val="5"/>
        </w:numPr>
        <w:tabs>
          <w:tab w:val="left" w:leader="none" w:pos="540"/>
          <w:tab w:val="left" w:leader="none" w:pos="847"/>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aanbesteding van de schoonmaak is gepauzeerd en uitgelopen tot een rechtszaak; </w:t>
      </w:r>
    </w:p>
    <w:p w:rsidR="00000000" w:rsidDel="00000000" w:rsidP="00000000" w:rsidRDefault="00000000" w:rsidRPr="00000000" w14:paraId="00000020">
      <w:pPr>
        <w:numPr>
          <w:ilvl w:val="0"/>
          <w:numId w:val="5"/>
        </w:numPr>
        <w:tabs>
          <w:tab w:val="left" w:leader="none" w:pos="540"/>
          <w:tab w:val="left" w:leader="none" w:pos="847"/>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harmonisatieboek m.b.t. de begroting wordt op grote lijnen opgesteld, </w:t>
      </w:r>
    </w:p>
    <w:p w:rsidR="00000000" w:rsidDel="00000000" w:rsidP="00000000" w:rsidRDefault="00000000" w:rsidRPr="00000000" w14:paraId="00000021">
      <w:pPr>
        <w:numPr>
          <w:ilvl w:val="0"/>
          <w:numId w:val="5"/>
        </w:numPr>
        <w:tabs>
          <w:tab w:val="left" w:leader="none" w:pos="540"/>
          <w:tab w:val="left" w:leader="none" w:pos="847"/>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HRM inventariseert bij beide organisaties wat er aanwezig is, wat er mist en hoe dat slim aangepakt kan worden. Daarbij is het participatiefonds ingeschakeld om mee te denken over hoe de personeelsplanning er de komende tien jaar uitziet, gecombineerd met de leerlingendaling. </w:t>
      </w:r>
    </w:p>
    <w:p w:rsidR="00000000" w:rsidDel="00000000" w:rsidP="00000000" w:rsidRDefault="00000000" w:rsidRPr="00000000" w14:paraId="00000022">
      <w:pPr>
        <w:numPr>
          <w:ilvl w:val="0"/>
          <w:numId w:val="3"/>
        </w:numPr>
        <w:tabs>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Door onder meer de komst van kinderen van asielzoekers is de leerlingpopulatie binnen de (taal)scholen nog steeds kansrijk, maar ook veranderd. Er is op de scholen een overlap ontstaan tussen internationalisering en passend onderwijs. Taalscholen blijven voor de kinderen een veilige plek, maar meer steun en begeleiding van overheid en gemeente, ook buiten het onderwijs, is noodzakelijk. </w:t>
      </w:r>
    </w:p>
    <w:p w:rsidR="00000000" w:rsidDel="00000000" w:rsidP="00000000" w:rsidRDefault="00000000" w:rsidRPr="00000000" w14:paraId="00000023">
      <w:pPr>
        <w:numPr>
          <w:ilvl w:val="0"/>
          <w:numId w:val="3"/>
        </w:numPr>
        <w:tabs>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infrastructuur ICT is een aandachtspunt, aangezien de twee stichtingen met andere systemen werken;</w:t>
      </w:r>
    </w:p>
    <w:p w:rsidR="00000000" w:rsidDel="00000000" w:rsidP="00000000" w:rsidRDefault="00000000" w:rsidRPr="00000000" w14:paraId="00000024">
      <w:pPr>
        <w:numPr>
          <w:ilvl w:val="0"/>
          <w:numId w:val="3"/>
        </w:numPr>
        <w:tabs>
          <w:tab w:val="left" w:leader="none" w:pos="7230"/>
          <w:tab w:val="left" w:leader="none" w:pos="750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Amstelatelier is goed ontvangen.</w:t>
      </w:r>
    </w:p>
    <w:p w:rsidR="00000000" w:rsidDel="00000000" w:rsidP="00000000" w:rsidRDefault="00000000" w:rsidRPr="00000000" w14:paraId="00000025">
      <w:pPr>
        <w:tabs>
          <w:tab w:val="left" w:leader="none" w:pos="7230"/>
          <w:tab w:val="left" w:leader="none" w:pos="7500"/>
        </w:tabs>
        <w:ind w:left="72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26">
      <w:pPr>
        <w:tabs>
          <w:tab w:val="left" w:leader="none" w:pos="540"/>
          <w:tab w:val="left" w:leader="none" w:pos="7230"/>
          <w:tab w:val="left" w:leader="none" w:pos="7507"/>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Weerbaarheid</w:t>
      </w:r>
    </w:p>
    <w:p w:rsidR="00000000" w:rsidDel="00000000" w:rsidP="00000000" w:rsidRDefault="00000000" w:rsidRPr="00000000" w14:paraId="00000027">
      <w:pPr>
        <w:tabs>
          <w:tab w:val="left" w:leader="none" w:pos="540"/>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Geopolitieke ontwikkeling, het informatieboekje van het Rijk en de denktank “Denk Vooruit’ van de PO Raad was aanleiding om de aandacht voor weerbaarheid in het Amstelveens onderwijs te bespreken. Met de directeuren zijn afspraken gemaakt over situaties die zich nu kunnen voordoen of voorspelbaar zijn. De Wij-scholen bieden trainingen aan om met paniek om te gaan. Maar een draaiboek voor extreme, onvoorziene calamiteiten is er (nog) niet. </w:t>
      </w:r>
    </w:p>
    <w:p w:rsidR="00000000" w:rsidDel="00000000" w:rsidP="00000000" w:rsidRDefault="00000000" w:rsidRPr="00000000" w14:paraId="00000028">
      <w:pPr>
        <w:tabs>
          <w:tab w:val="left" w:leader="none" w:pos="540"/>
          <w:tab w:val="left" w:leader="none" w:pos="847"/>
          <w:tab w:val="left" w:leader="none" w:pos="7230"/>
          <w:tab w:val="left" w:leader="none" w:pos="7500"/>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29">
      <w:pPr>
        <w:tabs>
          <w:tab w:val="left" w:leader="none" w:pos="540"/>
          <w:tab w:val="left" w:leader="none" w:pos="847"/>
          <w:tab w:val="left" w:leader="none" w:pos="7230"/>
          <w:tab w:val="left" w:leader="none" w:pos="750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GMR werkgroepen/bestuursjaarplan 2026</w:t>
      </w:r>
    </w:p>
    <w:p w:rsidR="00000000" w:rsidDel="00000000" w:rsidP="00000000" w:rsidRDefault="00000000" w:rsidRPr="00000000" w14:paraId="0000002A">
      <w:pPr>
        <w:tabs>
          <w:tab w:val="left" w:leader="none" w:pos="840"/>
        </w:tabs>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Internationalisering</w:t>
      </w:r>
    </w:p>
    <w:p w:rsidR="00000000" w:rsidDel="00000000" w:rsidP="00000000" w:rsidRDefault="00000000" w:rsidRPr="00000000" w14:paraId="0000002B">
      <w:pPr>
        <w:numPr>
          <w:ilvl w:val="0"/>
          <w:numId w:val="2"/>
        </w:numPr>
        <w:tabs>
          <w:tab w:val="left" w:leader="none" w:pos="84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Amsteltaal Noord functioneert goed;</w:t>
      </w:r>
    </w:p>
    <w:p w:rsidR="00000000" w:rsidDel="00000000" w:rsidP="00000000" w:rsidRDefault="00000000" w:rsidRPr="00000000" w14:paraId="0000002C">
      <w:pPr>
        <w:numPr>
          <w:ilvl w:val="0"/>
          <w:numId w:val="2"/>
        </w:numPr>
        <w:tabs>
          <w:tab w:val="left" w:leader="none" w:pos="84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kader van beleidsontwikkeling gaan alle directeuren de zeer informatieve landelijke LOWAN-dag bezoeken;</w:t>
      </w:r>
    </w:p>
    <w:p w:rsidR="00000000" w:rsidDel="00000000" w:rsidP="00000000" w:rsidRDefault="00000000" w:rsidRPr="00000000" w14:paraId="0000002D">
      <w:pPr>
        <w:numPr>
          <w:ilvl w:val="0"/>
          <w:numId w:val="2"/>
        </w:numPr>
        <w:tabs>
          <w:tab w:val="left" w:leader="none" w:pos="840"/>
        </w:tabs>
        <w:ind w:left="425"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GMR Amstelland heeft geen werkgroep internationalisering, maar ziet wel de relevantie ervan.</w:t>
      </w:r>
    </w:p>
    <w:p w:rsidR="00000000" w:rsidDel="00000000" w:rsidP="00000000" w:rsidRDefault="00000000" w:rsidRPr="00000000" w14:paraId="0000002E">
      <w:pPr>
        <w:tabs>
          <w:tab w:val="left" w:leader="none" w:pos="840"/>
        </w:tabs>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HRM</w:t>
      </w:r>
      <w:r w:rsidDel="00000000" w:rsidR="00000000" w:rsidRPr="00000000">
        <w:rPr>
          <w:rtl w:val="0"/>
        </w:rPr>
      </w:r>
    </w:p>
    <w:p w:rsidR="00000000" w:rsidDel="00000000" w:rsidP="00000000" w:rsidRDefault="00000000" w:rsidRPr="00000000" w14:paraId="0000002F">
      <w:pPr>
        <w:tabs>
          <w:tab w:val="left" w:leader="none" w:pos="840"/>
        </w:tabs>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De werkgroep HRM blijft onderbezet. Aangezien er een grote overlap is met de onderwerpen van de werkgroep ‘Amstelwijs als aantrekkelijke werkgever’ is besloten deze werkgroepen samen te voegen. </w:t>
      </w:r>
      <w:r w:rsidDel="00000000" w:rsidR="00000000" w:rsidRPr="00000000">
        <w:rPr>
          <w:rFonts w:ascii="Calibri" w:cs="Calibri" w:eastAsia="Calibri" w:hAnsi="Calibri"/>
          <w:i w:val="1"/>
          <w:iCs w:val="1"/>
          <w:sz w:val="22"/>
          <w:szCs w:val="22"/>
          <w:rtl w:val="0"/>
        </w:rPr>
        <w:t xml:space="preserve">Onderwijs &amp;  kwaliteit</w:t>
      </w:r>
    </w:p>
    <w:p w:rsidR="00000000" w:rsidDel="00000000" w:rsidP="00000000" w:rsidRDefault="00000000" w:rsidRPr="00000000" w14:paraId="00000030">
      <w:pPr>
        <w:tabs>
          <w:tab w:val="left" w:leader="none" w:pos="8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werkgroep heeft een up-date gekregen van de samenwerking met Amstelland. De beleidsmedewerkers onderwijskwaliteit bezoeken samen de scholen. </w:t>
      </w:r>
    </w:p>
    <w:p w:rsidR="00000000" w:rsidDel="00000000" w:rsidP="00000000" w:rsidRDefault="00000000" w:rsidRPr="00000000" w14:paraId="00000031">
      <w:pPr>
        <w:tabs>
          <w:tab w:val="left" w:leader="none" w:pos="840"/>
        </w:tabs>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Amstelwijs als aantrekkelijke werkgever</w:t>
      </w:r>
      <w:r w:rsidDel="00000000" w:rsidR="00000000" w:rsidRPr="00000000">
        <w:rPr>
          <w:rtl w:val="0"/>
        </w:rPr>
      </w:r>
    </w:p>
    <w:p w:rsidR="00000000" w:rsidDel="00000000" w:rsidP="00000000" w:rsidRDefault="00000000" w:rsidRPr="00000000" w14:paraId="00000032">
      <w:pPr>
        <w:tabs>
          <w:tab w:val="left" w:leader="none" w:pos="8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Deze werkgroep zal vanaf nu worden samengevoegd met de werkgroep HRM.</w:t>
      </w:r>
    </w:p>
    <w:p w:rsidR="00000000" w:rsidDel="00000000" w:rsidP="00000000" w:rsidRDefault="00000000" w:rsidRPr="00000000" w14:paraId="00000033">
      <w:pPr>
        <w:tabs>
          <w:tab w:val="left" w:leader="none" w:pos="840"/>
        </w:tabs>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Financiën: </w:t>
      </w:r>
    </w:p>
    <w:p w:rsidR="00000000" w:rsidDel="00000000" w:rsidP="00000000" w:rsidRDefault="00000000" w:rsidRPr="00000000" w14:paraId="00000034">
      <w:pPr>
        <w:tabs>
          <w:tab w:val="left" w:leader="none" w:pos="8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Volgende GMR vergadering zal de evaluatie en realisatie van het bestuursjaarplan op de agenda staan. Het harmonisatie boek wordt binnenkort in de werkgroep besproken.   </w:t>
      </w:r>
    </w:p>
    <w:p w:rsidR="00000000" w:rsidDel="00000000" w:rsidP="00000000" w:rsidRDefault="00000000" w:rsidRPr="00000000" w14:paraId="00000035">
      <w:pPr>
        <w:tabs>
          <w:tab w:val="left" w:leader="none" w:pos="840"/>
        </w:tabs>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Fusie: </w:t>
      </w:r>
    </w:p>
    <w:p w:rsidR="00000000" w:rsidDel="00000000" w:rsidP="00000000" w:rsidRDefault="00000000" w:rsidRPr="00000000" w14:paraId="00000036">
      <w:pPr>
        <w:ind w:right="-15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bijeenkomst van de werkgroep in december 2025 is de stand van zaken besproken en zijn er ideeën uitgewisseld. Ook zijn verschillen (professioneel en communicatie) en overeenkomsten (organisatie en onderwijsvorm) tussen beide GMR’en benoemd. De inzet van de werkgroep zal geïntensiveerd worden, maar de besluitvorming ligt in 2026 bij de afzonderlijke GMR'en. Het streven is om de GMR organisatievorm voor 2027 voor de zomervakantie uitgewerkt te hebben. </w:t>
      </w:r>
    </w:p>
    <w:p w:rsidR="00000000" w:rsidDel="00000000" w:rsidP="00000000" w:rsidRDefault="00000000" w:rsidRPr="00000000" w14:paraId="00000037">
      <w:pPr>
        <w:ind w:right="-15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8">
      <w:pPr>
        <w:tabs>
          <w:tab w:val="left" w:leader="none" w:pos="540"/>
          <w:tab w:val="left" w:leader="none" w:pos="847"/>
          <w:tab w:val="left" w:leader="none" w:pos="7230"/>
          <w:tab w:val="left" w:leader="none" w:pos="7507"/>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Gesprekspunten RvT maart 2026</w:t>
      </w:r>
    </w:p>
    <w:p w:rsidR="00000000" w:rsidDel="00000000" w:rsidP="00000000" w:rsidRDefault="00000000" w:rsidRPr="00000000" w14:paraId="00000039">
      <w:pPr>
        <w:tabs>
          <w:tab w:val="left" w:leader="none" w:pos="540"/>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belangrijkste gesprekspunt voor het gesprek met leden van de RVT  in de GMR vergadering van maart is de</w:t>
      </w:r>
      <w:r w:rsidDel="00000000" w:rsidR="00000000" w:rsidRPr="00000000">
        <w:rPr>
          <w:rFonts w:ascii="Calibri" w:cs="Calibri" w:eastAsia="Calibri" w:hAnsi="Calibri"/>
          <w:color w:val="222222"/>
          <w:sz w:val="22"/>
          <w:szCs w:val="22"/>
          <w:highlight w:val="white"/>
          <w:rtl w:val="0"/>
        </w:rPr>
        <w:t xml:space="preserve"> voorgenomen fusie met de aandachtspunten en tijdslijnen die de GMR en de RvT hebben en de visie van de RvT op de organisatievorm van de GMR tot en in 2027.</w:t>
      </w:r>
      <w:r w:rsidDel="00000000" w:rsidR="00000000" w:rsidRPr="00000000">
        <w:rPr>
          <w:rtl w:val="0"/>
        </w:rPr>
      </w:r>
    </w:p>
    <w:p w:rsidR="00000000" w:rsidDel="00000000" w:rsidP="00000000" w:rsidRDefault="00000000" w:rsidRPr="00000000" w14:paraId="0000003A">
      <w:pPr>
        <w:tabs>
          <w:tab w:val="left" w:leader="none" w:pos="0"/>
          <w:tab w:val="left" w:leader="none" w:pos="7230"/>
          <w:tab w:val="left" w:leader="none" w:pos="7507"/>
        </w:tabs>
        <w:rPr>
          <w:rFonts w:ascii="Calibri" w:cs="Calibri" w:eastAsia="Calibri" w:hAnsi="Calibri"/>
          <w:sz w:val="22"/>
          <w:szCs w:val="22"/>
        </w:rPr>
      </w:pPr>
      <w:r w:rsidDel="00000000" w:rsidR="00000000" w:rsidRPr="00000000">
        <w:rPr>
          <w:rtl w:val="0"/>
        </w:rPr>
      </w:r>
    </w:p>
    <w:sectPr>
      <w:headerReference r:id="rId8" w:type="default"/>
      <w:headerReference r:id="rId9" w:type="even"/>
      <w:footerReference r:id="rId10" w:type="default"/>
      <w:footerReference r:id="rId11" w:type="even"/>
      <w:pgSz w:h="16838" w:w="11906" w:orient="portrait"/>
      <w:pgMar w:bottom="404" w:top="1700" w:left="1417"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menwerkingawenoga.nl/"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RnV1sXFu7yU10Xa7lRqhif97w==">CgMxLjA4AGpJCjVzdWdnZXN0SWRJbXBvcnQyNjJlZDY0NC1lNjk4LTQ0M2QtOTkwZi1hZjA1MDYzNjg3YTZfOBIQSGFpY28gdmFuIFZlbHplbmpJCjVzdWdnZXN0SWRJbXBvcnQyNjJlZDY0NC1lNjk4LTQ0M2QtOTkwZi1hZjA1MDYzNjg3YTZfMRIQSGFpY28gdmFuIFZlbHplbnIhMXprTkV3c2kxejN1bEJHNndxcmY2c3V1cFRtYU4xNmxl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