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0"/>
          <w:tab w:val="left" w:leader="none" w:pos="9160"/>
        </w:tabs>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V</w:t>
      </w:r>
      <w:r w:rsidDel="00000000" w:rsidR="00000000" w:rsidRPr="00000000">
        <w:rPr>
          <w:rFonts w:ascii="Calibri" w:cs="Calibri" w:eastAsia="Calibri" w:hAnsi="Calibri"/>
          <w:b w:val="1"/>
          <w:color w:val="000000"/>
          <w:sz w:val="22"/>
          <w:szCs w:val="22"/>
          <w:rtl w:val="0"/>
        </w:rPr>
        <w:t xml:space="preserve">erslag van de vergadering van de Gemeenschappelijke Medezeggenschapsraad Amstelwijs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35"/>
          <w:tab w:val="left" w:leader="none" w:pos="9160"/>
        </w:tabs>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Datum: </w:t>
      </w:r>
      <w:r w:rsidDel="00000000" w:rsidR="00000000" w:rsidRPr="00000000">
        <w:rPr>
          <w:rFonts w:ascii="Calibri" w:cs="Calibri" w:eastAsia="Calibri" w:hAnsi="Calibri"/>
          <w:sz w:val="22"/>
          <w:szCs w:val="22"/>
          <w:rtl w:val="0"/>
        </w:rPr>
        <w:t xml:space="preserve">08</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09</w:t>
      </w:r>
      <w:r w:rsidDel="00000000" w:rsidR="00000000" w:rsidRPr="00000000">
        <w:rPr>
          <w:rFonts w:ascii="Calibri" w:cs="Calibri" w:eastAsia="Calibri" w:hAnsi="Calibri"/>
          <w:color w:val="000000"/>
          <w:sz w:val="22"/>
          <w:szCs w:val="22"/>
          <w:rtl w:val="0"/>
        </w:rPr>
        <w:t xml:space="preserve">- 202</w:t>
      </w:r>
      <w:r w:rsidDel="00000000" w:rsidR="00000000" w:rsidRPr="00000000">
        <w:rPr>
          <w:rFonts w:ascii="Calibri" w:cs="Calibri" w:eastAsia="Calibri" w:hAnsi="Calibri"/>
          <w:sz w:val="22"/>
          <w:szCs w:val="22"/>
          <w:rtl w:val="0"/>
        </w:rPr>
        <w:t xml:space="preserve">5</w:t>
      </w:r>
    </w:p>
    <w:p w:rsidR="00000000" w:rsidDel="00000000" w:rsidP="00000000" w:rsidRDefault="00000000" w:rsidRPr="00000000" w14:paraId="00000003">
      <w:pPr>
        <w:tabs>
          <w:tab w:val="left" w:leader="none" w:pos="3"/>
        </w:tabs>
        <w:ind w:right="-141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tabs>
          <w:tab w:val="left" w:leader="none" w:pos="3"/>
        </w:tabs>
        <w:ind w:right="-141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Mededelingen</w:t>
      </w:r>
    </w:p>
    <w:p w:rsidR="00000000" w:rsidDel="00000000" w:rsidP="00000000" w:rsidRDefault="00000000" w:rsidRPr="00000000" w14:paraId="00000005">
      <w:pPr>
        <w:numPr>
          <w:ilvl w:val="0"/>
          <w:numId w:val="1"/>
        </w:numPr>
        <w:tabs>
          <w:tab w:val="left" w:leader="none" w:pos="704"/>
          <w:tab w:val="left" w:leader="none" w:pos="7230"/>
          <w:tab w:val="left" w:leader="none" w:pos="7507"/>
        </w:tabs>
        <w:ind w:left="708" w:right="-142" w:hanging="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besluitenlijst en het verslag van de GMR vergadering van 23 juni 2025 zijn goedgekeurd. Het korte verslag staat op de Amstelwijs website;</w:t>
      </w:r>
    </w:p>
    <w:p w:rsidR="00000000" w:rsidDel="00000000" w:rsidP="00000000" w:rsidRDefault="00000000" w:rsidRPr="00000000" w14:paraId="00000006">
      <w:pPr>
        <w:numPr>
          <w:ilvl w:val="0"/>
          <w:numId w:val="1"/>
        </w:numPr>
        <w:tabs>
          <w:tab w:val="left" w:leader="none" w:pos="704"/>
          <w:tab w:val="left" w:leader="none" w:pos="7230"/>
          <w:tab w:val="left" w:leader="none" w:pos="7507"/>
        </w:tabs>
        <w:ind w:left="708" w:right="-142" w:hanging="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geplande themabijeenkomsten zullen (uit tijdsoverweging) losgekoppeld worden van de GMR vergaderingen. Als mogelijke onderwerpen worden genoemd: de impact van AI in het onderwijs, Amsteltaal Noord, social media, of andere onderwerpen die op de scholen speciale aandacht krijgen;</w:t>
      </w:r>
    </w:p>
    <w:p w:rsidR="00000000" w:rsidDel="00000000" w:rsidP="00000000" w:rsidRDefault="00000000" w:rsidRPr="00000000" w14:paraId="00000007">
      <w:pPr>
        <w:numPr>
          <w:ilvl w:val="0"/>
          <w:numId w:val="1"/>
        </w:numPr>
        <w:tabs>
          <w:tab w:val="left" w:leader="none" w:pos="704"/>
          <w:tab w:val="left" w:leader="none" w:pos="7230"/>
          <w:tab w:val="left" w:leader="none" w:pos="7507"/>
        </w:tabs>
        <w:ind w:left="708" w:right="-142" w:hanging="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drie van de zes GMR vacatures zijn ingevuld.</w:t>
      </w:r>
    </w:p>
    <w:p w:rsidR="00000000" w:rsidDel="00000000" w:rsidP="00000000" w:rsidRDefault="00000000" w:rsidRPr="00000000" w14:paraId="00000008">
      <w:pPr>
        <w:tabs>
          <w:tab w:val="left" w:leader="none" w:pos="-1841"/>
          <w:tab w:val="left" w:leader="none" w:pos="7230"/>
          <w:tab w:val="left" w:leader="none" w:pos="7507"/>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tabs>
          <w:tab w:val="left" w:leader="none" w:pos="-1841"/>
          <w:tab w:val="left" w:leader="none" w:pos="7230"/>
          <w:tab w:val="left" w:leader="none" w:pos="7507"/>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Mededelingen directeur-bestuurder</w:t>
      </w:r>
    </w:p>
    <w:p w:rsidR="00000000" w:rsidDel="00000000" w:rsidP="00000000" w:rsidRDefault="00000000" w:rsidRPr="00000000" w14:paraId="0000000A">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Start scholen</w:t>
      </w:r>
    </w:p>
    <w:p w:rsidR="00000000" w:rsidDel="00000000" w:rsidP="00000000" w:rsidRDefault="00000000" w:rsidRPr="00000000" w14:paraId="0000000B">
      <w:pPr>
        <w:tabs>
          <w:tab w:val="left" w:leader="none" w:pos="-1841"/>
          <w:tab w:val="left" w:leader="none" w:pos="7230"/>
          <w:tab w:val="left" w:leader="none" w:pos="7507"/>
        </w:tabs>
        <w:ind w:firstLine="1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 scholen zijn goed begonnen. Bij alle groepen is een volledige personele bezetting;</w:t>
      </w:r>
    </w:p>
    <w:p w:rsidR="00000000" w:rsidDel="00000000" w:rsidP="00000000" w:rsidRDefault="00000000" w:rsidRPr="00000000" w14:paraId="0000000C">
      <w:pPr>
        <w:tabs>
          <w:tab w:val="left" w:leader="none" w:pos="-1841"/>
          <w:tab w:val="left" w:leader="none" w:pos="7230"/>
          <w:tab w:val="left" w:leader="none" w:pos="7507"/>
        </w:tabs>
        <w:ind w:firstLine="1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er zijn twee nieuwe directeuren gestart;</w:t>
      </w:r>
    </w:p>
    <w:p w:rsidR="00000000" w:rsidDel="00000000" w:rsidP="00000000" w:rsidRDefault="00000000" w:rsidRPr="00000000" w14:paraId="0000000D">
      <w:pPr>
        <w:tabs>
          <w:tab w:val="left" w:leader="none" w:pos="-1841"/>
          <w:tab w:val="left" w:leader="none" w:pos="7230"/>
          <w:tab w:val="left" w:leader="none" w:pos="7507"/>
        </w:tabs>
        <w:ind w:firstLine="1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Amsteltaal Noord is gestart met een ervaren schoolleider en veel leerlingen; </w:t>
      </w:r>
    </w:p>
    <w:p w:rsidR="00000000" w:rsidDel="00000000" w:rsidP="00000000" w:rsidRDefault="00000000" w:rsidRPr="00000000" w14:paraId="0000000E">
      <w:pPr>
        <w:tabs>
          <w:tab w:val="left" w:leader="none" w:pos="-1841"/>
          <w:tab w:val="left" w:leader="none" w:pos="7230"/>
          <w:tab w:val="left" w:leader="none" w:pos="7507"/>
        </w:tabs>
        <w:ind w:left="283" w:hanging="1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 naamswijziging van de MIchiel de Ruyter naar De Verrekijker is zonder noemenswaardige problemen verlopen.</w:t>
      </w:r>
    </w:p>
    <w:p w:rsidR="00000000" w:rsidDel="00000000" w:rsidP="00000000" w:rsidRDefault="00000000" w:rsidRPr="00000000" w14:paraId="0000000F">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Onderwijsregio HAK</w:t>
      </w:r>
    </w:p>
    <w:p w:rsidR="00000000" w:rsidDel="00000000" w:rsidP="00000000" w:rsidRDefault="00000000" w:rsidRPr="00000000" w14:paraId="00000010">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aangevraagde subsidie voor bestrijding van het leerkrachtentekort en zorgen voor een aantrekkelijke arbeidsmarkt is verlengd van 1 naar 4 jaar. De helft van het bedrag gaat naar de besturen en de andere helft is voor regionale plannen. Er ligt nu een voorstel om van die helft ook de helft naar de besturen over te hevelen. Het overgebleven kwart zal de regio gebruiken voor de lopende projecten zoals de Academie, de samenwerking HR medewerkers en opleiden van directeuren.</w:t>
      </w:r>
    </w:p>
    <w:p w:rsidR="00000000" w:rsidDel="00000000" w:rsidP="00000000" w:rsidRDefault="00000000" w:rsidRPr="00000000" w14:paraId="00000011">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De Academie</w:t>
      </w:r>
    </w:p>
    <w:p w:rsidR="00000000" w:rsidDel="00000000" w:rsidP="00000000" w:rsidRDefault="00000000" w:rsidRPr="00000000" w14:paraId="00000012">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directeur-bestuurder deelt mee dat vanaf 1 januari 2026 heel klein wordt begonnen met een bestaand platform: de Academie. Hiermee wordt een wens van het personeel (opgehaald door de fakkeldragers) in vervulling gebracht. Het volgen van opleidingen wordt inzichtelijker, makkelijker en minder schoolgebonden. De Academie kan ook gebruikt worden als een kennisbank. Er komt een samenwerking met drie andere schoolbesturen, zodat er meer mogelijk is. </w:t>
      </w:r>
    </w:p>
    <w:p w:rsidR="00000000" w:rsidDel="00000000" w:rsidP="00000000" w:rsidRDefault="00000000" w:rsidRPr="00000000" w14:paraId="00000013">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Deze stap heeft uiteindelijk gevolgen voor het scholingsbudget van een school: het individuele opleidingsbudget is vanuit de cao, binnen bepaalde kaders,van de medewerker en wordt voor een gedeelte gestopt in de Academie. Daarnaast houdt de school een budget voor teamscholing. Dit alles moet verankerd worden in bovenschools beleid. </w:t>
      </w:r>
    </w:p>
    <w:p w:rsidR="00000000" w:rsidDel="00000000" w:rsidP="00000000" w:rsidRDefault="00000000" w:rsidRPr="00000000" w14:paraId="00000014">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Amstelwijs nieuwsbrief</w:t>
      </w:r>
    </w:p>
    <w:p w:rsidR="00000000" w:rsidDel="00000000" w:rsidP="00000000" w:rsidRDefault="00000000" w:rsidRPr="00000000" w14:paraId="00000015">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directeur-bestuurder vraagt feedback over de belangstelling die binnen de scholen bestaat voor de nieuwsbrief van Amstelwijs (‘Wijsneus’) en of en welke aanpassingen gewenst zijn. Vanuit de vergadering wordt aangegeven dat het een verrijking is, achtergrondinformatie geeft, interviews en informatie uit de scholen deelt, cursus/workshops aanbiedt en informatie over Amstelwijs zelf deelt.</w:t>
      </w:r>
    </w:p>
    <w:p w:rsidR="00000000" w:rsidDel="00000000" w:rsidP="00000000" w:rsidRDefault="00000000" w:rsidRPr="00000000" w14:paraId="00000016">
      <w:pPr>
        <w:tabs>
          <w:tab w:val="left" w:leader="none" w:pos="-1841"/>
          <w:tab w:val="left" w:leader="none" w:pos="7230"/>
          <w:tab w:val="left" w:leader="none" w:pos="7507"/>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tabs>
          <w:tab w:val="left" w:leader="none" w:pos="-1841"/>
          <w:tab w:val="left" w:leader="none" w:pos="7230"/>
          <w:tab w:val="left" w:leader="none" w:pos="7507"/>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Stand van zaken haalbaarheidsonderzoek</w:t>
      </w:r>
    </w:p>
    <w:p w:rsidR="00000000" w:rsidDel="00000000" w:rsidP="00000000" w:rsidRDefault="00000000" w:rsidRPr="00000000" w14:paraId="00000018">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Fusie effect rapportage (FER)</w:t>
      </w:r>
    </w:p>
    <w:p w:rsidR="00000000" w:rsidDel="00000000" w:rsidP="00000000" w:rsidRDefault="00000000" w:rsidRPr="00000000" w14:paraId="00000019">
      <w:pPr>
        <w:tabs>
          <w:tab w:val="left" w:leader="none" w:pos="-1841"/>
          <w:tab w:val="left" w:leader="none" w:pos="7230"/>
          <w:tab w:val="left" w:leader="none" w:pos="7507"/>
        </w:tabs>
        <w:ind w:left="141" w:firstLine="0"/>
        <w:rPr>
          <w:rFonts w:ascii="Calibri" w:cs="Calibri" w:eastAsia="Calibri" w:hAnsi="Calibri"/>
          <w:sz w:val="8"/>
          <w:szCs w:val="8"/>
        </w:rPr>
      </w:pPr>
      <w:r w:rsidDel="00000000" w:rsidR="00000000" w:rsidRPr="00000000">
        <w:rPr>
          <w:rFonts w:ascii="Calibri" w:cs="Calibri" w:eastAsia="Calibri" w:hAnsi="Calibri"/>
          <w:sz w:val="22"/>
          <w:szCs w:val="22"/>
          <w:rtl w:val="0"/>
        </w:rPr>
        <w:t xml:space="preserve">De Gemeentes van Amstelveen en Ouderkerk hebben positief geadviseerd inzake de voorgenomen fusie van Amstelland en Amstelwijs. Zij hebben alleen zeggenschap over de Statuten, die, geheel vernieuwd, op 7 november 2025 worden aangeboden aan de Gemeenteraden en, ter informatie, aan de GMR. </w:t>
      </w:r>
      <w:r w:rsidDel="00000000" w:rsidR="00000000" w:rsidRPr="00000000">
        <w:rPr>
          <w:rtl w:val="0"/>
        </w:rPr>
      </w:r>
    </w:p>
    <w:p w:rsidR="00000000" w:rsidDel="00000000" w:rsidP="00000000" w:rsidRDefault="00000000" w:rsidRPr="00000000" w14:paraId="0000001A">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GMR leden hebben alle stukken m.b.t. de voorgenomen fusie ontvangen. In de vergadering van 13-10-2025 wordt de FER ter instemming aan de GMR leden voorgelegd. Op 15-10-2025 nemen de Raden van toezicht het definitieve besluit tot wel of geen fusie ingaande 1 januari 2027. Het kalenderjaar 2026 is een harmonisatie jaar waarin alle processen verder worden uitgewerkt. </w:t>
      </w:r>
    </w:p>
    <w:p w:rsidR="00000000" w:rsidDel="00000000" w:rsidP="00000000" w:rsidRDefault="00000000" w:rsidRPr="00000000" w14:paraId="0000001B">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organisatievorm van de GMR van de nieuwe organisatie zal in 2026 met Amstelland uitgewerkt worden. Naast de beide GMR’en kan een bovenbestuurlijke medezeggenschapsraad gevormd worden, die adviseert of besluit over beleid dat voor de nieuwe organisatie wordt opgesteld. </w:t>
      </w:r>
    </w:p>
    <w:p w:rsidR="00000000" w:rsidDel="00000000" w:rsidP="00000000" w:rsidRDefault="00000000" w:rsidRPr="00000000" w14:paraId="0000001C">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Inhoudelijk is besproken over de harmonisatie en opplussen van de secundaire arbeidsvoorwaarden (naast de CAO regelingen) van beide stichtingen, de duurzame inzetbaarheid van personeel na de fusie en de samenwerking bevorderende deep democracy sessies van de directies. </w:t>
      </w:r>
    </w:p>
    <w:p w:rsidR="00000000" w:rsidDel="00000000" w:rsidP="00000000" w:rsidRDefault="00000000" w:rsidRPr="00000000" w14:paraId="0000001D">
      <w:pPr>
        <w:tabs>
          <w:tab w:val="left" w:leader="none" w:pos="-1841"/>
          <w:tab w:val="left" w:leader="none" w:pos="7230"/>
          <w:tab w:val="left" w:leader="none" w:pos="7507"/>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E">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Due diligence</w:t>
      </w:r>
    </w:p>
    <w:p w:rsidR="00000000" w:rsidDel="00000000" w:rsidP="00000000" w:rsidRDefault="00000000" w:rsidRPr="00000000" w14:paraId="0000001F">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financiële due diligence onderzoek is uitgevoerd door de accountant bureaus van Amstelland en Amstelwijs. De met de GMR gedeelde samenvatting van het due diligence rapport is opgesteld door de beide RvT-commissies financiën. De conclusie is dat zowel Amstelwijs en OG Amstelland financieel gezonde stichtingen zijn en dat er geen materiële punten uit het onderzoek naar voren zijn gekomen die de beoogde fusie in de weg staan. Enkele aandachtspunten zijn besproken.</w:t>
      </w:r>
    </w:p>
    <w:p w:rsidR="00000000" w:rsidDel="00000000" w:rsidP="00000000" w:rsidRDefault="00000000" w:rsidRPr="00000000" w14:paraId="00000020">
      <w:pPr>
        <w:tabs>
          <w:tab w:val="left" w:leader="none" w:pos="-1841"/>
          <w:tab w:val="left" w:leader="none" w:pos="7230"/>
          <w:tab w:val="left" w:leader="none" w:pos="7507"/>
        </w:tabs>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14:paraId="00000021">
      <w:pPr>
        <w:tabs>
          <w:tab w:val="left" w:leader="none" w:pos="-1841"/>
          <w:tab w:val="left" w:leader="none" w:pos="7230"/>
          <w:tab w:val="left" w:leader="none" w:pos="7507"/>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Ouder- en personeel raadpleging</w:t>
      </w:r>
    </w:p>
    <w:p w:rsidR="00000000" w:rsidDel="00000000" w:rsidP="00000000" w:rsidRDefault="00000000" w:rsidRPr="00000000" w14:paraId="00000022">
      <w:pPr>
        <w:tabs>
          <w:tab w:val="left" w:leader="none" w:pos="-1841"/>
          <w:tab w:val="left" w:leader="none" w:pos="7230"/>
          <w:tab w:val="left" w:leader="none" w:pos="7507"/>
        </w:tabs>
        <w:ind w:left="14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informatie avond voor ouders is vastgesteld. De beknopte en niet sturende vragenlijsten voor personeel en ouders zijn verspreid. De ontvangen gegevens van deze peilingen van Amstelland en Amstelwijs worden door ‘Scholen met succes’ afzonderlijk geanalyseerd en begin oktober gedeeld met de GMR. </w:t>
      </w:r>
    </w:p>
    <w:p w:rsidR="00000000" w:rsidDel="00000000" w:rsidP="00000000" w:rsidRDefault="00000000" w:rsidRPr="00000000" w14:paraId="00000023">
      <w:pPr>
        <w:tabs>
          <w:tab w:val="left" w:leader="none" w:pos="-1841"/>
          <w:tab w:val="left" w:leader="none" w:pos="7230"/>
          <w:tab w:val="left" w:leader="none" w:pos="7507"/>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4">
      <w:pPr>
        <w:tabs>
          <w:tab w:val="left" w:leader="none" w:pos="-1841"/>
          <w:tab w:val="left" w:leader="none" w:pos="7230"/>
          <w:tab w:val="left" w:leader="none" w:pos="7507"/>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Voortgangsrapportage jaarplan 2025</w:t>
      </w:r>
    </w:p>
    <w:p w:rsidR="00000000" w:rsidDel="00000000" w:rsidP="00000000" w:rsidRDefault="00000000" w:rsidRPr="00000000" w14:paraId="00000025">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voortgangsrapportage geeft een duidelijk en herkenbaar beeld van de evaluatie en voortgang  op de diverse beleidsgebieden. Het is smarter en beleidsrijk geformuleerd, met ook aandacht voor de financiële verantwoording.  Het jaarplan 2026 zal eerder dan voorgaande jaren en deels samen met Amstelland opgesteld worden en doorlopen tot begin 2027. Hierin wordt ook het harmonisatieplan en de daaruit voortkomende kosten beschreven. De grootste kostenpost wordt het invoeren van AFAS financial en de meeste tijd zal gaan zitten in het aanpassen van alle HRM onderdelen. Het jaarplan is ook de basis voor de bovenschoolse begroting van Amstelwijs en voor de werkzaamheden van de GMR werkgroepen. </w:t>
      </w:r>
    </w:p>
    <w:p w:rsidR="00000000" w:rsidDel="00000000" w:rsidP="00000000" w:rsidRDefault="00000000" w:rsidRPr="00000000" w14:paraId="00000026">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 het jaar 2027 zal voor de nieuwe stichting een geharmoniseerde begroting worden opgesteld, waarbij de huidige, transparante manier van begroten gehandhaafd blijft. </w:t>
      </w:r>
    </w:p>
    <w:p w:rsidR="00000000" w:rsidDel="00000000" w:rsidP="00000000" w:rsidRDefault="00000000" w:rsidRPr="00000000" w14:paraId="00000027">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tabs>
          <w:tab w:val="left" w:leader="none" w:pos="-1841"/>
          <w:tab w:val="left" w:leader="none" w:pos="7230"/>
          <w:tab w:val="left" w:leader="none" w:pos="7507"/>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GMR werkgroepen</w:t>
      </w:r>
    </w:p>
    <w:p w:rsidR="00000000" w:rsidDel="00000000" w:rsidP="00000000" w:rsidRDefault="00000000" w:rsidRPr="00000000" w14:paraId="00000029">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w:t>
      </w:r>
      <w:r w:rsidDel="00000000" w:rsidR="00000000" w:rsidRPr="00000000">
        <w:rPr>
          <w:rFonts w:ascii="Calibri" w:cs="Calibri" w:eastAsia="Calibri" w:hAnsi="Calibri"/>
          <w:i w:val="1"/>
          <w:sz w:val="22"/>
          <w:szCs w:val="22"/>
          <w:rtl w:val="0"/>
        </w:rPr>
        <w:t xml:space="preserve">RM:</w:t>
      </w:r>
      <w:r w:rsidDel="00000000" w:rsidR="00000000" w:rsidRPr="00000000">
        <w:rPr>
          <w:rFonts w:ascii="Calibri" w:cs="Calibri" w:eastAsia="Calibri" w:hAnsi="Calibri"/>
          <w:sz w:val="22"/>
          <w:szCs w:val="22"/>
          <w:rtl w:val="0"/>
        </w:rPr>
        <w:t xml:space="preserve"> er komt aandacht voor het functieboek;</w:t>
      </w:r>
    </w:p>
    <w:p w:rsidR="00000000" w:rsidDel="00000000" w:rsidP="00000000" w:rsidRDefault="00000000" w:rsidRPr="00000000" w14:paraId="0000002A">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onderwijs en kwaliteit:</w:t>
      </w:r>
      <w:r w:rsidDel="00000000" w:rsidR="00000000" w:rsidRPr="00000000">
        <w:rPr>
          <w:rFonts w:ascii="Calibri" w:cs="Calibri" w:eastAsia="Calibri" w:hAnsi="Calibri"/>
          <w:sz w:val="22"/>
          <w:szCs w:val="22"/>
          <w:rtl w:val="0"/>
        </w:rPr>
        <w:t xml:space="preserve"> begin mei 2026 zullen er weer een tevredenheidsenquêtes worden uitgezet;</w:t>
      </w:r>
    </w:p>
    <w:p w:rsidR="00000000" w:rsidDel="00000000" w:rsidP="00000000" w:rsidRDefault="00000000" w:rsidRPr="00000000" w14:paraId="0000002B">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Amstelwijs als aantrekkelijke werkgever:</w:t>
      </w:r>
      <w:r w:rsidDel="00000000" w:rsidR="00000000" w:rsidRPr="00000000">
        <w:rPr>
          <w:rFonts w:ascii="Calibri" w:cs="Calibri" w:eastAsia="Calibri" w:hAnsi="Calibri"/>
          <w:sz w:val="22"/>
          <w:szCs w:val="22"/>
          <w:rtl w:val="0"/>
        </w:rPr>
        <w:t xml:space="preserve"> langstudeerders kunnen voor de groep als aan alle voorwaarden wordt voldaan. Als een leerkracht basisbekwaam is, kan hij/zij ook een stagiare begeleiden;</w:t>
      </w:r>
    </w:p>
    <w:p w:rsidR="00000000" w:rsidDel="00000000" w:rsidP="00000000" w:rsidRDefault="00000000" w:rsidRPr="00000000" w14:paraId="0000002C">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internationalisering</w:t>
      </w:r>
      <w:r w:rsidDel="00000000" w:rsidR="00000000" w:rsidRPr="00000000">
        <w:rPr>
          <w:rFonts w:ascii="Calibri" w:cs="Calibri" w:eastAsia="Calibri" w:hAnsi="Calibri"/>
          <w:sz w:val="22"/>
          <w:szCs w:val="22"/>
          <w:rtl w:val="0"/>
        </w:rPr>
        <w:t xml:space="preserve">: Amsteltaal Noord is goed gestart;</w:t>
      </w:r>
    </w:p>
    <w:p w:rsidR="00000000" w:rsidDel="00000000" w:rsidP="00000000" w:rsidRDefault="00000000" w:rsidRPr="00000000" w14:paraId="0000002D">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financiën:</w:t>
      </w:r>
      <w:r w:rsidDel="00000000" w:rsidR="00000000" w:rsidRPr="00000000">
        <w:rPr>
          <w:rFonts w:ascii="Calibri" w:cs="Calibri" w:eastAsia="Calibri" w:hAnsi="Calibri"/>
          <w:sz w:val="22"/>
          <w:szCs w:val="22"/>
          <w:rtl w:val="0"/>
        </w:rPr>
        <w:t xml:space="preserve"> de werkgroep gaat zich richten op de begroting. Het proces loopt goed op schema zodat begin december de bestuursbegroting van advies kan worden voorzien door de GMR en daarna kan worden vastgesteld door de RvT. De schoolbegroting krijgt advies van de MR en kan half december door de MR worden vastgesteld;</w:t>
      </w:r>
    </w:p>
    <w:p w:rsidR="00000000" w:rsidDel="00000000" w:rsidP="00000000" w:rsidRDefault="00000000" w:rsidRPr="00000000" w14:paraId="0000002E">
      <w:pPr>
        <w:tabs>
          <w:tab w:val="left" w:leader="none" w:pos="-1841"/>
          <w:tab w:val="left" w:leader="none" w:pos="7230"/>
          <w:tab w:val="left" w:leader="none" w:pos="7507"/>
        </w:tabs>
        <w:rPr>
          <w:rFonts w:ascii="Calibri" w:cs="Calibri" w:eastAsia="Calibri" w:hAnsi="Calibri"/>
          <w:sz w:val="16"/>
          <w:szCs w:val="16"/>
        </w:rPr>
      </w:pPr>
      <w:r w:rsidDel="00000000" w:rsidR="00000000" w:rsidRPr="00000000">
        <w:rPr>
          <w:rFonts w:ascii="Calibri" w:cs="Calibri" w:eastAsia="Calibri" w:hAnsi="Calibri"/>
          <w:i w:val="1"/>
          <w:sz w:val="22"/>
          <w:szCs w:val="22"/>
          <w:rtl w:val="0"/>
        </w:rPr>
        <w:t xml:space="preserve">klankbordgroep fusie:</w:t>
      </w:r>
      <w:r w:rsidDel="00000000" w:rsidR="00000000" w:rsidRPr="00000000">
        <w:rPr>
          <w:rFonts w:ascii="Calibri" w:cs="Calibri" w:eastAsia="Calibri" w:hAnsi="Calibri"/>
          <w:sz w:val="22"/>
          <w:szCs w:val="22"/>
          <w:rtl w:val="0"/>
        </w:rPr>
        <w:t xml:space="preserve"> de peilingen onder personeel en ouders zijn de laatste kans om de positieve aspecten, maar ook om mogelijke zorgen en barrières boven water te krijgen. </w:t>
      </w:r>
      <w:r w:rsidDel="00000000" w:rsidR="00000000" w:rsidRPr="00000000">
        <w:rPr>
          <w:rtl w:val="0"/>
        </w:rPr>
      </w:r>
    </w:p>
    <w:p w:rsidR="00000000" w:rsidDel="00000000" w:rsidP="00000000" w:rsidRDefault="00000000" w:rsidRPr="00000000" w14:paraId="0000002F">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tabs>
          <w:tab w:val="left" w:leader="none" w:pos="-1841"/>
          <w:tab w:val="left" w:leader="none" w:pos="7230"/>
          <w:tab w:val="left" w:leader="none" w:pos="7507"/>
        </w:tabs>
        <w:rPr>
          <w:rFonts w:ascii="Calibri" w:cs="Calibri" w:eastAsia="Calibri" w:hAnsi="Calibri"/>
          <w:sz w:val="22"/>
          <w:szCs w:val="22"/>
        </w:rPr>
      </w:pPr>
      <w:r w:rsidDel="00000000" w:rsidR="00000000" w:rsidRPr="00000000">
        <w:rPr>
          <w:rtl w:val="0"/>
        </w:rPr>
      </w:r>
    </w:p>
    <w:sectPr>
      <w:headerReference r:id="rId7" w:type="default"/>
      <w:headerReference r:id="rId8" w:type="even"/>
      <w:footerReference r:id="rId9" w:type="default"/>
      <w:footerReference r:id="rId10" w:type="even"/>
      <w:pgSz w:h="16838" w:w="11906" w:orient="portrait"/>
      <w:pgMar w:bottom="404" w:top="1700" w:left="1417"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color w:val="000000"/>
        <w:sz w:val="21"/>
        <w:szCs w:val="21"/>
        <w:rtl w:val="0"/>
      </w:rPr>
      <w:t xml:space="preserve">GMR Amstelwijs, stichting voor openbaar primair onderwijs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left" w:leader="none" w:pos="842"/>
        <w:tab w:val="left" w:leader="none" w:pos="7230"/>
        <w:tab w:val="left" w:leader="none" w:pos="7507"/>
      </w:tabs>
      <w:ind w:right="-14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color w:val="000000"/>
        <w:sz w:val="21"/>
        <w:szCs w:val="21"/>
        <w:rtl w:val="0"/>
      </w:rPr>
      <w:t xml:space="preserve">GMR Amstelwijs, stichting voor openbaar primair onderwijs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character" w:styleId="Verwijzingopmerking">
    <w:name w:val="annotation reference"/>
    <w:basedOn w:val="Standaardalinea-lettertype"/>
    <w:uiPriority w:val="99"/>
    <w:semiHidden w:val="1"/>
    <w:unhideWhenUsed w:val="1"/>
    <w:rsid w:val="00C70170"/>
    <w:rPr>
      <w:sz w:val="16"/>
      <w:szCs w:val="16"/>
    </w:rPr>
  </w:style>
  <w:style w:type="paragraph" w:styleId="Tekstopmerking">
    <w:name w:val="annotation text"/>
    <w:link w:val="TekstopmerkingChar"/>
    <w:uiPriority w:val="99"/>
    <w:unhideWhenUsed w:val="1"/>
    <w:rsid w:val="00C70170"/>
  </w:style>
  <w:style w:type="character" w:styleId="TekstopmerkingChar" w:customStyle="1">
    <w:name w:val="Tekst opmerking Char"/>
    <w:basedOn w:val="Standaardalinea-lettertype"/>
    <w:link w:val="Tekstopmerking"/>
    <w:uiPriority w:val="99"/>
    <w:rsid w:val="00C70170"/>
  </w:style>
  <w:style w:type="paragraph" w:styleId="Onderwerpvanopmerking">
    <w:name w:val="annotation subject"/>
    <w:basedOn w:val="Tekstopmerking"/>
    <w:next w:val="Tekstopmerking"/>
    <w:link w:val="OnderwerpvanopmerkingChar"/>
    <w:uiPriority w:val="99"/>
    <w:semiHidden w:val="1"/>
    <w:unhideWhenUsed w:val="1"/>
    <w:rsid w:val="00C70170"/>
    <w:rPr>
      <w:b w:val="1"/>
      <w:bCs w:val="1"/>
    </w:rPr>
  </w:style>
  <w:style w:type="character" w:styleId="OnderwerpvanopmerkingChar" w:customStyle="1">
    <w:name w:val="Onderwerp van opmerking Char"/>
    <w:basedOn w:val="TekstopmerkingChar"/>
    <w:link w:val="Onderwerpvanopmerking"/>
    <w:uiPriority w:val="99"/>
    <w:semiHidden w:val="1"/>
    <w:rsid w:val="00C70170"/>
    <w:rPr>
      <w:b w:val="1"/>
      <w:bCs w:val="1"/>
    </w:rPr>
  </w:style>
  <w:style w:type="paragraph" w:styleId="Revisie">
    <w:name w:val="Revision"/>
    <w:hidden w:val="1"/>
    <w:uiPriority w:val="99"/>
    <w:semiHidden w:val="1"/>
    <w:rsid w:val="00E46201"/>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8enhTSUEhaNAE1cO9/Te/LRHeA==">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Gemeente Amstelveen</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