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0"/>
          <w:tab w:val="left" w:leader="none" w:pos="9160"/>
        </w:tabs>
        <w:ind w:left="0" w:firstLine="0"/>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V</w:t>
      </w:r>
      <w:r w:rsidDel="00000000" w:rsidR="00000000" w:rsidRPr="00000000">
        <w:rPr>
          <w:rFonts w:ascii="Calibri" w:cs="Calibri" w:eastAsia="Calibri" w:hAnsi="Calibri"/>
          <w:b w:val="1"/>
          <w:color w:val="000000"/>
          <w:sz w:val="22"/>
          <w:szCs w:val="22"/>
          <w:rtl w:val="0"/>
        </w:rPr>
        <w:t xml:space="preserve">erslag van de vergadering van de Gemeenschappelijke Medezeggenschapsraad Amstelwijs</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35"/>
          <w:tab w:val="left" w:leader="none" w:pos="9160"/>
        </w:tabs>
        <w:ind w:left="0" w:firstLine="0"/>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Datum: </w:t>
      </w:r>
      <w:r w:rsidDel="00000000" w:rsidR="00000000" w:rsidRPr="00000000">
        <w:rPr>
          <w:rFonts w:ascii="Calibri" w:cs="Calibri" w:eastAsia="Calibri" w:hAnsi="Calibri"/>
          <w:sz w:val="22"/>
          <w:szCs w:val="22"/>
          <w:rtl w:val="0"/>
        </w:rPr>
        <w:t xml:space="preserve">23</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06</w:t>
      </w:r>
      <w:r w:rsidDel="00000000" w:rsidR="00000000" w:rsidRPr="00000000">
        <w:rPr>
          <w:rFonts w:ascii="Calibri" w:cs="Calibri" w:eastAsia="Calibri" w:hAnsi="Calibri"/>
          <w:color w:val="000000"/>
          <w:sz w:val="22"/>
          <w:szCs w:val="22"/>
          <w:rtl w:val="0"/>
        </w:rPr>
        <w:t xml:space="preserve">- 202</w:t>
      </w:r>
      <w:r w:rsidDel="00000000" w:rsidR="00000000" w:rsidRPr="00000000">
        <w:rPr>
          <w:rFonts w:ascii="Calibri" w:cs="Calibri" w:eastAsia="Calibri" w:hAnsi="Calibri"/>
          <w:sz w:val="22"/>
          <w:szCs w:val="22"/>
          <w:rtl w:val="0"/>
        </w:rPr>
        <w:t xml:space="preserve">5</w:t>
      </w:r>
    </w:p>
    <w:p w:rsidR="00000000" w:rsidDel="00000000" w:rsidP="00000000" w:rsidRDefault="00000000" w:rsidRPr="00000000" w14:paraId="00000003">
      <w:pPr>
        <w:tabs>
          <w:tab w:val="left" w:leader="none" w:pos="3"/>
        </w:tabs>
        <w:ind w:left="0" w:right="-141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4">
      <w:pPr>
        <w:tabs>
          <w:tab w:val="left" w:leader="none" w:pos="3"/>
        </w:tabs>
        <w:ind w:left="0" w:right="-141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Mededelingen</w:t>
      </w:r>
    </w:p>
    <w:p w:rsidR="00000000" w:rsidDel="00000000" w:rsidP="00000000" w:rsidRDefault="00000000" w:rsidRPr="00000000" w14:paraId="00000005">
      <w:pPr>
        <w:numPr>
          <w:ilvl w:val="0"/>
          <w:numId w:val="3"/>
        </w:numPr>
        <w:tabs>
          <w:tab w:val="left" w:leader="none" w:pos="704.9999999999999"/>
          <w:tab w:val="left" w:leader="none" w:pos="7230"/>
          <w:tab w:val="left" w:leader="none" w:pos="7507"/>
        </w:tabs>
        <w:ind w:left="708.6614173228347" w:right="-142" w:hanging="708.6614173228347"/>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 besluitenlijst en het verslag van de GMR vergadering van 26 mei 2025 zijn goedgekeurd. Het korte verslag staat op de Amstelwijs website;</w:t>
      </w:r>
    </w:p>
    <w:p w:rsidR="00000000" w:rsidDel="00000000" w:rsidP="00000000" w:rsidRDefault="00000000" w:rsidRPr="00000000" w14:paraId="00000006">
      <w:pPr>
        <w:numPr>
          <w:ilvl w:val="0"/>
          <w:numId w:val="3"/>
        </w:numPr>
        <w:tabs>
          <w:tab w:val="left" w:leader="none" w:pos="-1291.771653543306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aan de themaraad, aangepaste GMR reglement is door de GMR goedgekeurd;</w:t>
      </w:r>
    </w:p>
    <w:p w:rsidR="00000000" w:rsidDel="00000000" w:rsidP="00000000" w:rsidRDefault="00000000" w:rsidRPr="00000000" w14:paraId="00000007">
      <w:pPr>
        <w:tabs>
          <w:tab w:val="left" w:leader="none" w:pos="-1558.1102362204729"/>
          <w:tab w:val="left" w:leader="none" w:pos="7230"/>
          <w:tab w:val="left" w:leader="none" w:pos="7655"/>
        </w:tabs>
        <w:ind w:left="0" w:right="-15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8">
      <w:pPr>
        <w:tabs>
          <w:tab w:val="left" w:leader="none" w:pos="-1849.8425196850383"/>
          <w:tab w:val="left" w:leader="none" w:pos="847"/>
          <w:tab w:val="left" w:leader="none" w:pos="7222"/>
          <w:tab w:val="left" w:leader="none" w:pos="7500"/>
        </w:tabs>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Bestuursformatieplan</w:t>
      </w:r>
    </w:p>
    <w:p w:rsidR="00000000" w:rsidDel="00000000" w:rsidP="00000000" w:rsidRDefault="00000000" w:rsidRPr="00000000" w14:paraId="00000009">
      <w:pPr>
        <w:tabs>
          <w:tab w:val="left" w:leader="none" w:pos="-1849.8425196850383"/>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data van het bestuursformatieplan zijn eerder gedeeld met de GMR werkgroepen financiën en HRM. Aangezien er geen sprake is van een risicodragend deel van de formatie, is het toen, volgens afspraak, niet ter instemming voorgelegd aan de PGMR.</w:t>
      </w:r>
    </w:p>
    <w:p w:rsidR="00000000" w:rsidDel="00000000" w:rsidP="00000000" w:rsidRDefault="00000000" w:rsidRPr="00000000" w14:paraId="0000000A">
      <w:pPr>
        <w:tabs>
          <w:tab w:val="left" w:leader="none" w:pos="-1849.8425196850383"/>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het bestuursformatieplan is opgenomen: de wijze waarop de middelen bovenschools dan wel aan de scholen worden toebedeeld en beschikbare formatie per brinnummer, waarbij de verhouding tussen het aantal leerlingen en leraren per school (brinnummer) wordt verantwoord. Alle baten die worden ontvangen, worden per brinnummer verdeeld over de scholen. Wel zullen vanaf 2025 kosten duurzame inzetbaarheid en kosten langdurig zieken vanaf 7 maanden bovenschools gedragen worden.</w:t>
      </w:r>
    </w:p>
    <w:p w:rsidR="00000000" w:rsidDel="00000000" w:rsidP="00000000" w:rsidRDefault="00000000" w:rsidRPr="00000000" w14:paraId="0000000B">
      <w:pPr>
        <w:tabs>
          <w:tab w:val="left" w:leader="none" w:pos="-1849.8425196850383"/>
          <w:tab w:val="left" w:leader="none" w:pos="847"/>
          <w:tab w:val="left" w:leader="none" w:pos="7222"/>
          <w:tab w:val="left" w:leader="none" w:pos="7500"/>
        </w:tabs>
        <w:ind w:left="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C">
      <w:pPr>
        <w:tabs>
          <w:tab w:val="left" w:leader="none" w:pos="-1849.8425196850383"/>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bestuursformatieplan is opgenomen in de concept begroting 2026 om zo de GMR breder en beter te kunnen informeren en de planning &amp; controlcyclus efficiënter te maken. </w:t>
      </w:r>
    </w:p>
    <w:p w:rsidR="00000000" w:rsidDel="00000000" w:rsidP="00000000" w:rsidRDefault="00000000" w:rsidRPr="00000000" w14:paraId="0000000D">
      <w:pPr>
        <w:tabs>
          <w:tab w:val="left" w:leader="none" w:pos="-1849.8425196850383"/>
          <w:tab w:val="left" w:leader="none" w:pos="847"/>
          <w:tab w:val="left" w:leader="none" w:pos="7222"/>
          <w:tab w:val="left" w:leader="none" w:pos="7500"/>
        </w:tabs>
        <w:ind w:left="0" w:firstLine="0"/>
        <w:rPr>
          <w:rFonts w:ascii="Calibri" w:cs="Calibri" w:eastAsia="Calibri" w:hAnsi="Calibri"/>
          <w:sz w:val="8"/>
          <w:szCs w:val="8"/>
        </w:rPr>
      </w:pPr>
      <w:r w:rsidDel="00000000" w:rsidR="00000000" w:rsidRPr="00000000">
        <w:rPr>
          <w:rFonts w:ascii="Calibri" w:cs="Calibri" w:eastAsia="Calibri" w:hAnsi="Calibri"/>
          <w:sz w:val="22"/>
          <w:szCs w:val="22"/>
          <w:rtl w:val="0"/>
        </w:rPr>
        <w:t xml:space="preserve">Het formatieplan is passend in het financiële kader. Opvallend is dat, voor het eerst in jaren, het aantal leerlingen gedaald is. Deze tendens zet, volgens de prognose van de Gemeente, door in de komende jaren. Wel is er een betere prognose over de verdeling per wijk, zodat daar op schoolniveau gestuurd kan worden. Om ook in de toekomst voldoende scholen over te houden, moet Amstelwijs zorgen voor een gezonde opbouw in de scholen door de krimp te spreiden, te zorgen voor een goede groepsgrootte en de druk op leerkrachten te ontzien.</w:t>
      </w:r>
      <w:r w:rsidDel="00000000" w:rsidR="00000000" w:rsidRPr="00000000">
        <w:rPr>
          <w:rtl w:val="0"/>
        </w:rPr>
      </w:r>
    </w:p>
    <w:p w:rsidR="00000000" w:rsidDel="00000000" w:rsidP="00000000" w:rsidRDefault="00000000" w:rsidRPr="00000000" w14:paraId="0000000E">
      <w:pPr>
        <w:tabs>
          <w:tab w:val="left" w:leader="none" w:pos="-1849.8425196850383"/>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totale personeelskosten stijgen door: </w:t>
      </w:r>
    </w:p>
    <w:p w:rsidR="00000000" w:rsidDel="00000000" w:rsidP="00000000" w:rsidRDefault="00000000" w:rsidRPr="00000000" w14:paraId="0000000F">
      <w:pPr>
        <w:numPr>
          <w:ilvl w:val="0"/>
          <w:numId w:val="2"/>
        </w:numPr>
        <w:tabs>
          <w:tab w:val="left" w:leader="none" w:pos="-1849.8425196850383"/>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CAO stijging;</w:t>
      </w:r>
    </w:p>
    <w:p w:rsidR="00000000" w:rsidDel="00000000" w:rsidP="00000000" w:rsidRDefault="00000000" w:rsidRPr="00000000" w14:paraId="00000010">
      <w:pPr>
        <w:numPr>
          <w:ilvl w:val="0"/>
          <w:numId w:val="2"/>
        </w:numPr>
        <w:tabs>
          <w:tab w:val="left" w:leader="none" w:pos="-1849.8425196850383"/>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nieuwe functie brugfunctionaris op de Bloeiwijzer;</w:t>
      </w:r>
    </w:p>
    <w:p w:rsidR="00000000" w:rsidDel="00000000" w:rsidP="00000000" w:rsidRDefault="00000000" w:rsidRPr="00000000" w14:paraId="00000011">
      <w:pPr>
        <w:numPr>
          <w:ilvl w:val="0"/>
          <w:numId w:val="2"/>
        </w:numPr>
        <w:tabs>
          <w:tab w:val="left" w:leader="none" w:pos="-1849.8425196850383"/>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bovenschools is er een vacature ICT;</w:t>
      </w:r>
    </w:p>
    <w:p w:rsidR="00000000" w:rsidDel="00000000" w:rsidP="00000000" w:rsidRDefault="00000000" w:rsidRPr="00000000" w14:paraId="00000012">
      <w:pPr>
        <w:numPr>
          <w:ilvl w:val="0"/>
          <w:numId w:val="2"/>
        </w:numPr>
        <w:tabs>
          <w:tab w:val="left" w:leader="none" w:pos="-1849.8425196850383"/>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aantal zij-instromers is gestegen;</w:t>
      </w:r>
    </w:p>
    <w:p w:rsidR="00000000" w:rsidDel="00000000" w:rsidP="00000000" w:rsidRDefault="00000000" w:rsidRPr="00000000" w14:paraId="00000013">
      <w:pPr>
        <w:numPr>
          <w:ilvl w:val="0"/>
          <w:numId w:val="2"/>
        </w:numPr>
        <w:tabs>
          <w:tab w:val="left" w:leader="none" w:pos="-1849.8425196850383"/>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onderwijsondersteunend personeel is omgeschoold tot onderwijspersoneel; </w:t>
      </w:r>
    </w:p>
    <w:p w:rsidR="00000000" w:rsidDel="00000000" w:rsidP="00000000" w:rsidRDefault="00000000" w:rsidRPr="00000000" w14:paraId="00000014">
      <w:pPr>
        <w:numPr>
          <w:ilvl w:val="0"/>
          <w:numId w:val="2"/>
        </w:numPr>
        <w:tabs>
          <w:tab w:val="left" w:leader="none" w:pos="-1999.8425196850383"/>
          <w:tab w:val="left" w:leader="none" w:pos="698.0000000000002"/>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alle stagiaires en daaruit voortkomende handelingen moeten vanaf augustus 2025 betaald </w:t>
        <w:tab/>
        <w:tab/>
        <w:t xml:space="preserve">worden;</w:t>
      </w:r>
    </w:p>
    <w:p w:rsidR="00000000" w:rsidDel="00000000" w:rsidP="00000000" w:rsidRDefault="00000000" w:rsidRPr="00000000" w14:paraId="00000015">
      <w:pPr>
        <w:numPr>
          <w:ilvl w:val="0"/>
          <w:numId w:val="2"/>
        </w:numPr>
        <w:tabs>
          <w:tab w:val="left" w:leader="none" w:pos="-1999.8425196850383"/>
          <w:tab w:val="left" w:leader="none" w:pos="698.0000000000002"/>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inhuur van externen is fors gedaald en niet meer nodig voor het invullen van de basisformatie. </w:t>
        <w:tab/>
        <w:t xml:space="preserve">ZZP ‘ers gaan er ook meer toe over om in dienstverband te werken.</w:t>
      </w:r>
    </w:p>
    <w:p w:rsidR="00000000" w:rsidDel="00000000" w:rsidP="00000000" w:rsidRDefault="00000000" w:rsidRPr="00000000" w14:paraId="00000016">
      <w:pPr>
        <w:tabs>
          <w:tab w:val="left" w:leader="none" w:pos="-1849.8425196850383"/>
          <w:tab w:val="left" w:leader="none" w:pos="847"/>
          <w:tab w:val="left" w:leader="none" w:pos="7222"/>
          <w:tab w:val="left" w:leader="none" w:pos="7500"/>
        </w:tabs>
        <w:ind w:left="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7">
      <w:pPr>
        <w:tabs>
          <w:tab w:val="left" w:leader="none" w:pos="-1849.8425196850383"/>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 een stijging van kort verzuim (onder meer veroorzaakt door griep, corona en nauwkeuriger invoer in AFAS) wordt een daling in het verzuim opgemerkt. Aandacht voor mentaal verzuim en preventie werpen hun vruchten af. </w:t>
      </w:r>
    </w:p>
    <w:p w:rsidR="00000000" w:rsidDel="00000000" w:rsidP="00000000" w:rsidRDefault="00000000" w:rsidRPr="00000000" w14:paraId="00000018">
      <w:pPr>
        <w:tabs>
          <w:tab w:val="left" w:leader="none" w:pos="-1849.8425196850383"/>
          <w:tab w:val="left" w:leader="none" w:pos="847"/>
          <w:tab w:val="left" w:leader="none" w:pos="7222"/>
          <w:tab w:val="left" w:leader="none" w:pos="7500"/>
        </w:tabs>
        <w:ind w:left="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9">
      <w:pPr>
        <w:tabs>
          <w:tab w:val="left" w:leader="none" w:pos="-1849.8425196850383"/>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PGMR stemt in met het bestuursformatieplan 2025-2026Door het verzuim in eigen beheer te houden, heeft de directie ruimte om verzuim, en de impact daarop, intern op te lossen. </w:t>
      </w:r>
    </w:p>
    <w:p w:rsidR="00000000" w:rsidDel="00000000" w:rsidP="00000000" w:rsidRDefault="00000000" w:rsidRPr="00000000" w14:paraId="0000001A">
      <w:pPr>
        <w:tabs>
          <w:tab w:val="left" w:leader="none" w:pos="-1849.8425196850383"/>
          <w:tab w:val="left" w:leader="none" w:pos="847"/>
          <w:tab w:val="left" w:leader="none" w:pos="7222"/>
          <w:tab w:val="left" w:leader="none" w:pos="7500"/>
        </w:tabs>
        <w:ind w:left="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B">
      <w:pPr>
        <w:tabs>
          <w:tab w:val="left" w:leader="none" w:pos="540"/>
          <w:tab w:val="left" w:leader="none" w:pos="847"/>
          <w:tab w:val="left" w:leader="none" w:pos="7222"/>
          <w:tab w:val="left" w:leader="none" w:pos="7500"/>
        </w:tabs>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Concept begroting 2026</w:t>
      </w:r>
    </w:p>
    <w:p w:rsidR="00000000" w:rsidDel="00000000" w:rsidP="00000000" w:rsidRDefault="00000000" w:rsidRPr="00000000" w14:paraId="0000001C">
      <w:pPr>
        <w:tabs>
          <w:tab w:val="left" w:leader="none" w:pos="-724.8425196850383"/>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concept begroting 2026 is in lijn met de begroting van 2025. Er is sprake van een negatief resultaat waardoor resultaten uit het verleden ingezet moeten worden voor onderbouwde investeringen en het eigen vermogen te verminderen. Maar enige voorzichtigheid is geboden omdat de bezuinigingen voor funderend onderwijs nog niet bekend zijn. </w:t>
      </w:r>
    </w:p>
    <w:p w:rsidR="00000000" w:rsidDel="00000000" w:rsidP="00000000" w:rsidRDefault="00000000" w:rsidRPr="00000000" w14:paraId="0000001D">
      <w:pPr>
        <w:tabs>
          <w:tab w:val="left" w:leader="none" w:pos="-724.8425196850383"/>
          <w:tab w:val="left" w:leader="none" w:pos="847"/>
          <w:tab w:val="left" w:leader="none" w:pos="7222"/>
          <w:tab w:val="left" w:leader="none" w:pos="7500"/>
        </w:tabs>
        <w:ind w:left="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E">
      <w:pPr>
        <w:tabs>
          <w:tab w:val="left" w:leader="none" w:pos="540"/>
          <w:tab w:val="left" w:leader="none" w:pos="847"/>
          <w:tab w:val="left" w:leader="none" w:pos="7222"/>
          <w:tab w:val="left" w:leader="none" w:pos="7500"/>
        </w:tabs>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Passend onderwijs</w:t>
      </w:r>
    </w:p>
    <w:p w:rsidR="00000000" w:rsidDel="00000000" w:rsidP="00000000" w:rsidRDefault="00000000" w:rsidRPr="00000000" w14:paraId="0000001F">
      <w:pPr>
        <w:tabs>
          <w:tab w:val="left" w:leader="none" w:pos="540"/>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directeur van de Bloeiwijzer geeft een presentatie over ‘Passend inclusief onderwijs’. Een passende plek voor kinderen in het regulier onderwijs, het speciaal basisonderwijs (Bloeiwijzer) en speciaal onderwijs in de eigen woonomgeving. </w:t>
      </w:r>
    </w:p>
    <w:p w:rsidR="00000000" w:rsidDel="00000000" w:rsidP="00000000" w:rsidRDefault="00000000" w:rsidRPr="00000000" w14:paraId="00000020">
      <w:pPr>
        <w:tabs>
          <w:tab w:val="left" w:leader="none" w:pos="540"/>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Sinds de invoering van de Wet passend onderwijs in 2014 is de opzet van onderwijs steeds inclusiever geworden. Daar zijn gelden per leerling voor beschikbaar gesteld. Daarmee maakt iedere school zijn eigen keuzes die zichtbaar zijn in het ondersteuningsprofiel, opgenomen in de schoolgids.</w:t>
      </w:r>
    </w:p>
    <w:p w:rsidR="00000000" w:rsidDel="00000000" w:rsidP="00000000" w:rsidRDefault="00000000" w:rsidRPr="00000000" w14:paraId="00000021">
      <w:pPr>
        <w:tabs>
          <w:tab w:val="left" w:leader="none" w:pos="540"/>
          <w:tab w:val="left" w:leader="none" w:pos="847"/>
          <w:tab w:val="left" w:leader="none" w:pos="7222"/>
          <w:tab w:val="left" w:leader="none" w:pos="7500"/>
        </w:tabs>
        <w:ind w:left="0" w:right="-283.3464566929137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Inclusie onderwijs is een zaak van het hele onderwijs, van kennis en het kijken naar kansen. Daarbij is de dialoog met de ouders erg belangrijk en moet steeds een reëel beeld van de (on)mogelijkheden worden gegeven.</w:t>
      </w:r>
    </w:p>
    <w:p w:rsidR="00000000" w:rsidDel="00000000" w:rsidP="00000000" w:rsidRDefault="00000000" w:rsidRPr="00000000" w14:paraId="00000022">
      <w:pPr>
        <w:tabs>
          <w:tab w:val="left" w:leader="none" w:pos="540"/>
          <w:tab w:val="left" w:leader="none" w:pos="847"/>
          <w:tab w:val="left" w:leader="none" w:pos="7222"/>
          <w:tab w:val="left" w:leader="none" w:pos="7500"/>
        </w:tabs>
        <w:ind w:left="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3">
      <w:pPr>
        <w:tabs>
          <w:tab w:val="left" w:leader="none" w:pos="540"/>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Bloeiwijzer heeft zich ontwikkeld van speciaal basisonderwijs (SBO) naar gespecificeerd onderwijs (GO) en expertisecentrum. Om leerlingen die speciaal onderwijs nodig hebben in de eigen buurt naar school te kunnen laten gaan, is het onderwijs anders ingericht. Het team van de Bloeiwijzer kan leerkrachten van Amstelwijs en Amstelland praktisch en theoretisch helpen en ondersteunen door gedrags- en zorgspecialisten (bij een heel specifieke vraag) in te zetten in de scholen. Daarnaast ondersteunt het team inclusievoorstellen, waardoor de scholen in de wijken elkaar versterken, positieve ontwikkelingen delen en het toch voor kinderen en ouders laagdrempelig blijft. Een warm hart is er ook voor thuiszitters en kinderen met gestapelde problematiek die nog niet schoolplichtig zijn. Kinderen moeten kinderen ontmoeten op een school waar ze zichzelf mogen zijn, zich veilig voelen en waar maatwerk kan worden geboden. Vanuit het samenwerkingsverband Amstelronde, worden inclusievoorstellen, waarin het gaat om samenwerking en ontwikkelingsperspectief, onder de aandacht gebracht en ruim financieel ondersteund. </w:t>
      </w:r>
    </w:p>
    <w:p w:rsidR="00000000" w:rsidDel="00000000" w:rsidP="00000000" w:rsidRDefault="00000000" w:rsidRPr="00000000" w14:paraId="00000024">
      <w:pPr>
        <w:tabs>
          <w:tab w:val="left" w:leader="none" w:pos="540"/>
          <w:tab w:val="left" w:leader="none" w:pos="847"/>
          <w:tab w:val="left" w:leader="none" w:pos="7222"/>
          <w:tab w:val="left" w:leader="none" w:pos="7500"/>
        </w:tabs>
        <w:ind w:left="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5">
      <w:pPr>
        <w:tabs>
          <w:tab w:val="left" w:leader="none" w:pos="540"/>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 de Bloeiwijzer zijn enkele bijzondere initiatieven ontplooid: </w:t>
      </w:r>
    </w:p>
    <w:p w:rsidR="00000000" w:rsidDel="00000000" w:rsidP="00000000" w:rsidRDefault="00000000" w:rsidRPr="00000000" w14:paraId="00000026">
      <w:pPr>
        <w:numPr>
          <w:ilvl w:val="0"/>
          <w:numId w:val="4"/>
        </w:numPr>
        <w:tabs>
          <w:tab w:val="left" w:leader="none" w:pos="-1991.574803149607"/>
          <w:tab w:val="left" w:leader="none" w:pos="847"/>
          <w:tab w:val="left" w:leader="none" w:pos="7222"/>
          <w:tab w:val="left" w:leader="none" w:pos="7500"/>
        </w:tabs>
        <w:ind w:left="708.6614173228347" w:hanging="708.661417322834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Bloeiseum met Bloeibios: een dynamisch en interactief burgerschapsmuseum; </w:t>
      </w:r>
    </w:p>
    <w:p w:rsidR="00000000" w:rsidDel="00000000" w:rsidP="00000000" w:rsidRDefault="00000000" w:rsidRPr="00000000" w14:paraId="00000027">
      <w:pPr>
        <w:numPr>
          <w:ilvl w:val="0"/>
          <w:numId w:val="4"/>
        </w:numPr>
        <w:tabs>
          <w:tab w:val="left" w:leader="none" w:pos="-1991.574803149607"/>
          <w:tab w:val="left" w:leader="none" w:pos="847"/>
          <w:tab w:val="left" w:leader="none" w:pos="7222"/>
          <w:tab w:val="left" w:leader="none" w:pos="7500"/>
        </w:tabs>
        <w:ind w:left="708.6614173228347" w:hanging="708.661417322834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kerndoelen van burgerschap zijn in de attitude van de hele school te vinden. Het gaat daarbij om kennis, kunde, uitdragen en ervaren;</w:t>
      </w:r>
    </w:p>
    <w:p w:rsidR="00000000" w:rsidDel="00000000" w:rsidP="00000000" w:rsidRDefault="00000000" w:rsidRPr="00000000" w14:paraId="00000028">
      <w:pPr>
        <w:numPr>
          <w:ilvl w:val="0"/>
          <w:numId w:val="4"/>
        </w:numPr>
        <w:tabs>
          <w:tab w:val="left" w:leader="none" w:pos="540"/>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dynamische schooldag waaronder Beweegwijs;</w:t>
      </w:r>
    </w:p>
    <w:p w:rsidR="00000000" w:rsidDel="00000000" w:rsidP="00000000" w:rsidRDefault="00000000" w:rsidRPr="00000000" w14:paraId="00000029">
      <w:pPr>
        <w:numPr>
          <w:ilvl w:val="0"/>
          <w:numId w:val="4"/>
        </w:numPr>
        <w:tabs>
          <w:tab w:val="left" w:leader="none" w:pos="540"/>
          <w:tab w:val="left" w:leader="none" w:pos="847"/>
          <w:tab w:val="left" w:leader="none" w:pos="7222"/>
          <w:tab w:val="left" w:leader="none" w:pos="7500"/>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Vloeiwijzer: in het schooljaar worden de groep 8 leerlingen minimaal 8 vrijdagen</w:t>
      </w:r>
    </w:p>
    <w:p w:rsidR="00000000" w:rsidDel="00000000" w:rsidP="00000000" w:rsidRDefault="00000000" w:rsidRPr="00000000" w14:paraId="0000002A">
      <w:pPr>
        <w:numPr>
          <w:ilvl w:val="0"/>
          <w:numId w:val="4"/>
        </w:numPr>
        <w:tabs>
          <w:tab w:val="left" w:leader="none" w:pos="540"/>
          <w:tab w:val="left" w:leader="none" w:pos="847"/>
          <w:tab w:val="left" w:leader="none" w:pos="7222"/>
          <w:tab w:val="left" w:leader="none" w:pos="7500"/>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voorbereid op het voortgezet onderwijs: leerkrachten worden mentoren, VO vakken</w:t>
      </w:r>
    </w:p>
    <w:p w:rsidR="00000000" w:rsidDel="00000000" w:rsidP="00000000" w:rsidRDefault="00000000" w:rsidRPr="00000000" w14:paraId="0000002B">
      <w:pPr>
        <w:numPr>
          <w:ilvl w:val="0"/>
          <w:numId w:val="4"/>
        </w:numPr>
        <w:tabs>
          <w:tab w:val="left" w:leader="none" w:pos="540"/>
          <w:tab w:val="left" w:leader="none" w:pos="847"/>
          <w:tab w:val="left" w:leader="none" w:pos="7222"/>
          <w:tab w:val="left" w:leader="none" w:pos="7500"/>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worden aangeboden, briefje halen voor te laat komen en volgens rooster door de school</w:t>
      </w:r>
    </w:p>
    <w:p w:rsidR="00000000" w:rsidDel="00000000" w:rsidP="00000000" w:rsidRDefault="00000000" w:rsidRPr="00000000" w14:paraId="0000002C">
      <w:pPr>
        <w:numPr>
          <w:ilvl w:val="0"/>
          <w:numId w:val="4"/>
        </w:numPr>
        <w:tabs>
          <w:tab w:val="left" w:leader="none" w:pos="540"/>
          <w:tab w:val="left" w:leader="none" w:pos="847"/>
          <w:tab w:val="left" w:leader="none" w:pos="7222"/>
          <w:tab w:val="left" w:leader="none" w:pos="7500"/>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lopen;</w:t>
      </w:r>
    </w:p>
    <w:p w:rsidR="00000000" w:rsidDel="00000000" w:rsidP="00000000" w:rsidRDefault="00000000" w:rsidRPr="00000000" w14:paraId="0000002D">
      <w:pPr>
        <w:numPr>
          <w:ilvl w:val="0"/>
          <w:numId w:val="4"/>
        </w:numPr>
        <w:tabs>
          <w:tab w:val="left" w:leader="none" w:pos="540"/>
          <w:tab w:val="left" w:leader="none" w:pos="847"/>
          <w:tab w:val="left" w:leader="none" w:pos="7222"/>
          <w:tab w:val="left" w:leader="none" w:pos="7500"/>
        </w:tabs>
        <w:ind w:left="708.6614173228347" w:hanging="708.661417322834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vanwege sociale kansenongelijkheid en een onevenredige verdeling van leerlingen in het SBO zijn er brugfunctionarissen in dienst die gezinnen helpen en perspectief bieden. </w:t>
      </w:r>
    </w:p>
    <w:p w:rsidR="00000000" w:rsidDel="00000000" w:rsidP="00000000" w:rsidRDefault="00000000" w:rsidRPr="00000000" w14:paraId="0000002E">
      <w:pPr>
        <w:tabs>
          <w:tab w:val="left" w:leader="none" w:pos="540"/>
          <w:tab w:val="left" w:leader="none" w:pos="847"/>
          <w:tab w:val="left" w:leader="none" w:pos="7222"/>
          <w:tab w:val="left" w:leader="none" w:pos="7500"/>
        </w:tabs>
        <w:ind w:left="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F">
      <w:pPr>
        <w:tabs>
          <w:tab w:val="left" w:leader="none" w:pos="540"/>
          <w:tab w:val="left" w:leader="none" w:pos="847"/>
          <w:tab w:val="left" w:leader="none" w:pos="7222"/>
          <w:tab w:val="left" w:leader="none" w:pos="7500"/>
        </w:tabs>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Directiefuncties</w:t>
      </w:r>
    </w:p>
    <w:p w:rsidR="00000000" w:rsidDel="00000000" w:rsidP="00000000" w:rsidRDefault="00000000" w:rsidRPr="00000000" w14:paraId="00000030">
      <w:pPr>
        <w:tabs>
          <w:tab w:val="left" w:leader="none" w:pos="540"/>
          <w:tab w:val="left" w:leader="none" w:pos="847"/>
          <w:tab w:val="left" w:leader="none" w:pos="7222"/>
          <w:tab w:val="left" w:leader="none" w:pos="7500"/>
        </w:tabs>
        <w:ind w:left="0" w:firstLine="0"/>
        <w:rPr>
          <w:rFonts w:ascii="Calibri" w:cs="Calibri" w:eastAsia="Calibri" w:hAnsi="Calibri"/>
          <w:sz w:val="16"/>
          <w:szCs w:val="16"/>
        </w:rPr>
      </w:pPr>
      <w:r w:rsidDel="00000000" w:rsidR="00000000" w:rsidRPr="00000000">
        <w:rPr>
          <w:rFonts w:ascii="Calibri" w:cs="Calibri" w:eastAsia="Calibri" w:hAnsi="Calibri"/>
          <w:sz w:val="22"/>
          <w:szCs w:val="22"/>
          <w:rtl w:val="0"/>
        </w:rPr>
        <w:t xml:space="preserve">Vanuit het CAO rapport van 2024 had Amstelwijs de opdracht om voor 1 juli 2025 te kijken naar de voorbeeldfuncties die genoemd worden in de </w:t>
      </w:r>
      <w:hyperlink r:id="rId7">
        <w:r w:rsidDel="00000000" w:rsidR="00000000" w:rsidRPr="00000000">
          <w:rPr>
            <w:rFonts w:ascii="Calibri" w:cs="Calibri" w:eastAsia="Calibri" w:hAnsi="Calibri"/>
            <w:sz w:val="22"/>
            <w:szCs w:val="22"/>
            <w:rtl w:val="0"/>
          </w:rPr>
          <w:t xml:space="preserve">directiefuncties. Hiervoor heeft het bestuur uitstel gekregen; het zal zsm afgerond worden. De directie schaal 11 en adjuncten schaal 10 </w:t>
        </w:r>
      </w:hyperlink>
      <w:r w:rsidDel="00000000" w:rsidR="00000000" w:rsidRPr="00000000">
        <w:rPr>
          <w:rFonts w:ascii="Calibri" w:cs="Calibri" w:eastAsia="Calibri" w:hAnsi="Calibri"/>
          <w:sz w:val="22"/>
          <w:szCs w:val="22"/>
          <w:rtl w:val="0"/>
        </w:rPr>
        <w:t xml:space="preserve"> in de </w:t>
      </w:r>
      <w:hyperlink r:id="rId8">
        <w:r w:rsidDel="00000000" w:rsidR="00000000" w:rsidRPr="00000000">
          <w:rPr>
            <w:rFonts w:ascii="Calibri" w:cs="Calibri" w:eastAsia="Calibri" w:hAnsi="Calibri"/>
            <w:sz w:val="22"/>
            <w:szCs w:val="22"/>
            <w:rtl w:val="0"/>
          </w:rPr>
          <w:t xml:space="preserve">directiefuncties. De directie schaal 11 en adjuncten schaal 10 </w:t>
        </w:r>
      </w:hyperlink>
      <w:r w:rsidDel="00000000" w:rsidR="00000000" w:rsidRPr="00000000">
        <w:rPr>
          <w:rFonts w:ascii="Calibri" w:cs="Calibri" w:eastAsia="Calibri" w:hAnsi="Calibri"/>
          <w:sz w:val="22"/>
          <w:szCs w:val="22"/>
          <w:rtl w:val="0"/>
        </w:rPr>
        <w:t xml:space="preserve">vervallen, maar daarin heeft Amstelwijs geen personeel. Er zijn nieuwe voorbeeldfuncties in D 12 en 13 en A 11 en 12. Het gaat daarbij om nuance verschillen in competenties en taken. De directies is gevraagd om, met een handreiking van VOS ABB, de functies te toetsen aan de invulling in de praktijk en hiaten op te sporen. Door het beschrijven van alle functies, ook  van leerkrachten, kan differentiatie gecreëerd worden.</w:t>
      </w:r>
      <w:r w:rsidDel="00000000" w:rsidR="00000000" w:rsidRPr="00000000">
        <w:rPr>
          <w:rtl w:val="0"/>
        </w:rPr>
      </w:r>
    </w:p>
    <w:p w:rsidR="00000000" w:rsidDel="00000000" w:rsidP="00000000" w:rsidRDefault="00000000" w:rsidRPr="00000000" w14:paraId="00000031">
      <w:pPr>
        <w:tabs>
          <w:tab w:val="left" w:leader="none" w:pos="540"/>
          <w:tab w:val="left" w:leader="none" w:pos="847"/>
          <w:tab w:val="left" w:leader="none" w:pos="7222"/>
          <w:tab w:val="left" w:leader="none" w:pos="7500"/>
        </w:tabs>
        <w:ind w:left="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2">
      <w:pPr>
        <w:tabs>
          <w:tab w:val="left" w:leader="none" w:pos="540"/>
          <w:tab w:val="left" w:leader="none" w:pos="847"/>
          <w:tab w:val="left" w:leader="none" w:pos="7222"/>
          <w:tab w:val="left" w:leader="none" w:pos="7500"/>
        </w:tabs>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Haalbaarheidsonderzoek</w:t>
      </w:r>
    </w:p>
    <w:p w:rsidR="00000000" w:rsidDel="00000000" w:rsidP="00000000" w:rsidRDefault="00000000" w:rsidRPr="00000000" w14:paraId="00000033">
      <w:pPr>
        <w:tabs>
          <w:tab w:val="left" w:leader="none" w:pos="540"/>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Directeuren en adjunct directeuren bespreken in werkgroepen wat de gewenste situatie zou zijn als ze gefuseerd zijn. Dan is de beginsituatie bekend, wat er nog te overbruggen is en wat de risico's zijn. Het meest op detail is ICT, met daarnaast bestuursfilosofie, onderwijskwaliteit, HRM en financiën. Die resultaten worden neergelegd in een haalbaarheidsonderzoek en een fusie-effect-rapportage (FER); een  beginsituatie die verder ontwikkeld moet worden. Beide stukken zijn in concept aangeboden aan de GMR werkgroepen en de Raden van Toezicht. De GMR heeft instemmingsrecht op de FER; de resultaten van het haalbaarheidsonderzoek geven aanvullende inhoudelijke informatie. Na de implementatie volgt de harmonisatie fase. Snelheid is noodzakelijk op financieel beleid om van een geconsolideerde tot een geharmoniseerde (gezamenlijke) begroting te komen. </w:t>
      </w:r>
    </w:p>
    <w:p w:rsidR="00000000" w:rsidDel="00000000" w:rsidP="00000000" w:rsidRDefault="00000000" w:rsidRPr="00000000" w14:paraId="00000034">
      <w:pPr>
        <w:tabs>
          <w:tab w:val="left" w:leader="none" w:pos="540"/>
          <w:tab w:val="left" w:leader="none" w:pos="847"/>
          <w:tab w:val="left" w:leader="none" w:pos="7222"/>
          <w:tab w:val="left" w:leader="none" w:pos="7500"/>
        </w:tabs>
        <w:ind w:left="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35">
      <w:pPr>
        <w:tabs>
          <w:tab w:val="left" w:leader="none" w:pos="540"/>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de harmonisatie fase kan overwogen worden om, naast de beide GMR’en, een bovenbestuurlijke medezeggenschapsraad te formeren. Die raad krijgt mandaat om beslissingen te nemen over stichting overschrijdend beleid.</w:t>
      </w:r>
    </w:p>
    <w:p w:rsidR="00000000" w:rsidDel="00000000" w:rsidP="00000000" w:rsidRDefault="00000000" w:rsidRPr="00000000" w14:paraId="00000036">
      <w:pPr>
        <w:tabs>
          <w:tab w:val="left" w:leader="none" w:pos="540"/>
          <w:tab w:val="left" w:leader="none" w:pos="847"/>
          <w:tab w:val="left" w:leader="none" w:pos="7222"/>
          <w:tab w:val="left" w:leader="none" w:pos="7500"/>
        </w:tabs>
        <w:ind w:left="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37">
      <w:pPr>
        <w:tabs>
          <w:tab w:val="left" w:leader="none" w:pos="540"/>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de GMR vergadering van september volgt meer informatie en in oktober wordt de FER ter instemming voorgelegd aan de GMR en de RvT. Het besluit voor al of niet instemmen moet goed onderbouwd zijn en daarbij kan de hulp van een externe deskundige worden ingeroepen. Daarna kan de FER ter advies worden aangeboden in de Raad van 28 oktober en kan het aangepaste Statuut voor 1 januari 2026 worden aangeboden aan de Gemeenteraad.</w:t>
      </w:r>
    </w:p>
    <w:p w:rsidR="00000000" w:rsidDel="00000000" w:rsidP="00000000" w:rsidRDefault="00000000" w:rsidRPr="00000000" w14:paraId="00000038">
      <w:pPr>
        <w:tabs>
          <w:tab w:val="left" w:leader="none" w:pos="540"/>
          <w:tab w:val="left" w:leader="none" w:pos="847"/>
          <w:tab w:val="left" w:leader="none" w:pos="7222"/>
          <w:tab w:val="left" w:leader="none" w:pos="7500"/>
        </w:tabs>
        <w:ind w:left="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9">
      <w:pPr>
        <w:tabs>
          <w:tab w:val="left" w:leader="none" w:pos="540"/>
          <w:tab w:val="left" w:leader="none" w:pos="847"/>
          <w:tab w:val="left" w:leader="none" w:pos="7222"/>
          <w:tab w:val="left" w:leader="none" w:pos="7500"/>
        </w:tabs>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Ouderraadpleging</w:t>
      </w:r>
    </w:p>
    <w:p w:rsidR="00000000" w:rsidDel="00000000" w:rsidP="00000000" w:rsidRDefault="00000000" w:rsidRPr="00000000" w14:paraId="0000003A">
      <w:pPr>
        <w:tabs>
          <w:tab w:val="left" w:leader="none" w:pos="540"/>
          <w:tab w:val="left" w:leader="none" w:pos="847"/>
          <w:tab w:val="left" w:leader="none" w:pos="7222"/>
          <w:tab w:val="left" w:leader="none" w:pos="750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Voor en vlak na de zomervakantie wordt in posterformaat informatie over de mogelijke fusie gedeeld met de ouders. Ook zal er voor en na de vakantie een brief uitgaan naar ouders en medewerkers. Daarna volgt een ouderpeiling op hoofdlijnen en als er veel vragen zijn, worden er ouder informatieavonden georganiseerd. Voor leerkrachten volgt een uitnodiging voor ‘kampvuurgesprekken’.</w:t>
      </w:r>
    </w:p>
    <w:p w:rsidR="00000000" w:rsidDel="00000000" w:rsidP="00000000" w:rsidRDefault="00000000" w:rsidRPr="00000000" w14:paraId="0000003B">
      <w:pPr>
        <w:tabs>
          <w:tab w:val="left" w:leader="none" w:pos="540"/>
          <w:tab w:val="left" w:leader="none" w:pos="847"/>
          <w:tab w:val="left" w:leader="none" w:pos="7222"/>
          <w:tab w:val="left" w:leader="none" w:pos="7500"/>
        </w:tabs>
        <w:ind w:left="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C">
      <w:pPr>
        <w:tabs>
          <w:tab w:val="left" w:leader="none" w:pos="-724.8425196850383"/>
          <w:tab w:val="left" w:leader="none" w:pos="7222"/>
          <w:tab w:val="left" w:leader="none" w:pos="7500"/>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Social media</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D">
      <w:pPr>
        <w:tabs>
          <w:tab w:val="left" w:leader="none" w:pos="-724.8425196850383"/>
          <w:tab w:val="left" w:leader="none" w:pos="7222"/>
          <w:tab w:val="left" w:leader="none" w:pos="750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Het is een complex onderwerp, waar ook in de media momenteel veel aandacht voor is. Bepaalde zaken zijn inmiddels wettelijke geregeld zoals het telefoongebruik op scholen, er zijn AVG afspraken op Amstelwijs niveau en afspraken over het gebruik van ouder communicatiemiddelen als Parro en social school. Afspraken zouden over het algemeen actiever met ouders en leerlingen gedeeld mogen worden. </w:t>
      </w:r>
    </w:p>
    <w:p w:rsidR="00000000" w:rsidDel="00000000" w:rsidP="00000000" w:rsidRDefault="00000000" w:rsidRPr="00000000" w14:paraId="0000003E">
      <w:pPr>
        <w:tabs>
          <w:tab w:val="left" w:leader="none" w:pos="540"/>
          <w:tab w:val="left" w:leader="none" w:pos="847"/>
          <w:tab w:val="left" w:leader="none" w:pos="7230"/>
          <w:tab w:val="left" w:leader="none" w:pos="7507"/>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Maar alle social media gebruik buiten school heeft ook invloed op het gedrag van leerlingen op school. Scholen besteden daar aandacht aan door psycho educatie, de wij-scholen en mediawijsheid.</w:t>
      </w:r>
    </w:p>
    <w:p w:rsidR="00000000" w:rsidDel="00000000" w:rsidP="00000000" w:rsidRDefault="00000000" w:rsidRPr="00000000" w14:paraId="0000003F">
      <w:pPr>
        <w:tabs>
          <w:tab w:val="left" w:leader="none" w:pos="540"/>
          <w:tab w:val="left" w:leader="none" w:pos="847"/>
          <w:tab w:val="left" w:leader="none" w:pos="7230"/>
          <w:tab w:val="left" w:leader="none" w:pos="7507"/>
        </w:tabs>
        <w:ind w:left="0" w:firstLine="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40">
      <w:pPr>
        <w:tabs>
          <w:tab w:val="left" w:leader="none" w:pos="540"/>
          <w:tab w:val="left" w:leader="none" w:pos="847"/>
          <w:tab w:val="left" w:leader="none" w:pos="7230"/>
          <w:tab w:val="left" w:leader="none" w:pos="7507"/>
        </w:tabs>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GMR werkgroepen</w:t>
      </w:r>
    </w:p>
    <w:p w:rsidR="00000000" w:rsidDel="00000000" w:rsidP="00000000" w:rsidRDefault="00000000" w:rsidRPr="00000000" w14:paraId="00000041">
      <w:pPr>
        <w:numPr>
          <w:ilvl w:val="0"/>
          <w:numId w:val="1"/>
        </w:numPr>
        <w:tabs>
          <w:tab w:val="left" w:leader="none" w:pos="840"/>
        </w:tabs>
        <w:ind w:left="720" w:hanging="360"/>
        <w:rPr>
          <w:rFonts w:ascii="Calibri" w:cs="Calibri" w:eastAsia="Calibri" w:hAnsi="Calibri"/>
          <w:sz w:val="22"/>
          <w:szCs w:val="22"/>
          <w:u w:val="none"/>
        </w:rPr>
      </w:pPr>
      <w:r w:rsidDel="00000000" w:rsidR="00000000" w:rsidRPr="00000000">
        <w:rPr>
          <w:rFonts w:ascii="Calibri" w:cs="Calibri" w:eastAsia="Calibri" w:hAnsi="Calibri"/>
          <w:i w:val="1"/>
          <w:sz w:val="22"/>
          <w:szCs w:val="22"/>
          <w:rtl w:val="0"/>
        </w:rPr>
        <w:t xml:space="preserve">HRM:</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de geactualiseerde beleidsstukken zijn ontvangen en zullen worden besproken.</w:t>
      </w:r>
    </w:p>
    <w:p w:rsidR="00000000" w:rsidDel="00000000" w:rsidP="00000000" w:rsidRDefault="00000000" w:rsidRPr="00000000" w14:paraId="00000042">
      <w:pPr>
        <w:numPr>
          <w:ilvl w:val="0"/>
          <w:numId w:val="1"/>
        </w:numPr>
        <w:tabs>
          <w:tab w:val="left" w:leader="none" w:pos="840"/>
        </w:tabs>
        <w:ind w:left="720" w:hanging="360"/>
        <w:rPr>
          <w:rFonts w:ascii="Calibri" w:cs="Calibri" w:eastAsia="Calibri" w:hAnsi="Calibri"/>
          <w:sz w:val="22"/>
          <w:szCs w:val="22"/>
          <w:u w:val="none"/>
        </w:rPr>
      </w:pPr>
      <w:r w:rsidDel="00000000" w:rsidR="00000000" w:rsidRPr="00000000">
        <w:rPr>
          <w:rFonts w:ascii="Calibri" w:cs="Calibri" w:eastAsia="Calibri" w:hAnsi="Calibri"/>
          <w:i w:val="1"/>
          <w:sz w:val="22"/>
          <w:szCs w:val="22"/>
          <w:rtl w:val="0"/>
        </w:rPr>
        <w:t xml:space="preserve">Onderwijs en kwaliteit</w:t>
      </w:r>
      <w:r w:rsidDel="00000000" w:rsidR="00000000" w:rsidRPr="00000000">
        <w:rPr>
          <w:rFonts w:ascii="Calibri" w:cs="Calibri" w:eastAsia="Calibri" w:hAnsi="Calibri"/>
          <w:sz w:val="22"/>
          <w:szCs w:val="22"/>
          <w:rtl w:val="0"/>
        </w:rPr>
        <w:t xml:space="preserve">: de werkgroep wil meer gezien worden als een denktank. Gesproken is over de samenwerking met Amstelland, het dashbord en burgerschap.</w:t>
      </w:r>
      <w:r w:rsidDel="00000000" w:rsidR="00000000" w:rsidRPr="00000000">
        <w:rPr>
          <w:rtl w:val="0"/>
        </w:rPr>
      </w:r>
    </w:p>
    <w:p w:rsidR="00000000" w:rsidDel="00000000" w:rsidP="00000000" w:rsidRDefault="00000000" w:rsidRPr="00000000" w14:paraId="00000043">
      <w:pPr>
        <w:numPr>
          <w:ilvl w:val="0"/>
          <w:numId w:val="1"/>
        </w:numPr>
        <w:tabs>
          <w:tab w:val="left" w:leader="none" w:pos="840"/>
        </w:tabs>
        <w:ind w:left="720" w:hanging="360"/>
        <w:rPr>
          <w:rFonts w:ascii="Calibri" w:cs="Calibri" w:eastAsia="Calibri" w:hAnsi="Calibri"/>
          <w:sz w:val="22"/>
          <w:szCs w:val="22"/>
          <w:u w:val="none"/>
        </w:rPr>
      </w:pPr>
      <w:r w:rsidDel="00000000" w:rsidR="00000000" w:rsidRPr="00000000">
        <w:rPr>
          <w:rFonts w:ascii="Calibri" w:cs="Calibri" w:eastAsia="Calibri" w:hAnsi="Calibri"/>
          <w:i w:val="1"/>
          <w:sz w:val="22"/>
          <w:szCs w:val="22"/>
          <w:rtl w:val="0"/>
        </w:rPr>
        <w:t xml:space="preserve">Amstelwijs als aantrekkelijke werkgever:</w:t>
      </w:r>
      <w:r w:rsidDel="00000000" w:rsidR="00000000" w:rsidRPr="00000000">
        <w:rPr>
          <w:rFonts w:ascii="Calibri" w:cs="Calibri" w:eastAsia="Calibri" w:hAnsi="Calibri"/>
          <w:b w:val="1"/>
          <w:i w:val="1"/>
          <w:sz w:val="22"/>
          <w:szCs w:val="22"/>
          <w:rtl w:val="0"/>
        </w:rPr>
        <w:t xml:space="preserve"> </w:t>
      </w:r>
      <w:r w:rsidDel="00000000" w:rsidR="00000000" w:rsidRPr="00000000">
        <w:rPr>
          <w:rFonts w:ascii="Calibri" w:cs="Calibri" w:eastAsia="Calibri" w:hAnsi="Calibri"/>
          <w:sz w:val="22"/>
          <w:szCs w:val="22"/>
          <w:rtl w:val="0"/>
        </w:rPr>
        <w:t xml:space="preserve">de openbare beleidsstukken ‘opleiden in school’ zijn besproken en worden gedeeld met de leden. Het geeft heldere informatie en duidelijke richtlijnen.</w:t>
      </w:r>
    </w:p>
    <w:p w:rsidR="00000000" w:rsidDel="00000000" w:rsidP="00000000" w:rsidRDefault="00000000" w:rsidRPr="00000000" w14:paraId="00000044">
      <w:pPr>
        <w:numPr>
          <w:ilvl w:val="0"/>
          <w:numId w:val="1"/>
        </w:numPr>
        <w:tabs>
          <w:tab w:val="left" w:leader="none" w:pos="840"/>
        </w:tabs>
        <w:ind w:left="720" w:hanging="360"/>
        <w:rPr>
          <w:rFonts w:ascii="Calibri" w:cs="Calibri" w:eastAsia="Calibri" w:hAnsi="Calibri"/>
          <w:sz w:val="22"/>
          <w:szCs w:val="22"/>
          <w:u w:val="none"/>
        </w:rPr>
      </w:pPr>
      <w:r w:rsidDel="00000000" w:rsidR="00000000" w:rsidRPr="00000000">
        <w:rPr>
          <w:rFonts w:ascii="Calibri" w:cs="Calibri" w:eastAsia="Calibri" w:hAnsi="Calibri"/>
          <w:i w:val="1"/>
          <w:sz w:val="22"/>
          <w:szCs w:val="22"/>
          <w:rtl w:val="0"/>
        </w:rPr>
        <w:t xml:space="preserve">Internationalisering: </w:t>
      </w:r>
      <w:r w:rsidDel="00000000" w:rsidR="00000000" w:rsidRPr="00000000">
        <w:rPr>
          <w:rFonts w:ascii="Calibri" w:cs="Calibri" w:eastAsia="Calibri" w:hAnsi="Calibri"/>
          <w:sz w:val="22"/>
          <w:szCs w:val="22"/>
          <w:rtl w:val="0"/>
        </w:rPr>
        <w:t xml:space="preserve">het team van Amsteltaal Noord is samengesteld en wordt opgeleid. Op Amsteltaal Zuid zijn 22 leerlingen vanuit het AZC gestart en 51 leerlingen doorgestroomd naar het reguliere basisonderwijs of speciale basisonderwijs. </w:t>
      </w:r>
    </w:p>
    <w:p w:rsidR="00000000" w:rsidDel="00000000" w:rsidP="00000000" w:rsidRDefault="00000000" w:rsidRPr="00000000" w14:paraId="00000045">
      <w:pPr>
        <w:numPr>
          <w:ilvl w:val="0"/>
          <w:numId w:val="1"/>
        </w:numPr>
        <w:tabs>
          <w:tab w:val="left" w:leader="none" w:pos="840"/>
        </w:tabs>
        <w:ind w:left="720" w:hanging="360"/>
        <w:rPr>
          <w:rFonts w:ascii="Calibri" w:cs="Calibri" w:eastAsia="Calibri" w:hAnsi="Calibri"/>
          <w:sz w:val="22"/>
          <w:szCs w:val="22"/>
          <w:u w:val="none"/>
        </w:rPr>
      </w:pPr>
      <w:r w:rsidDel="00000000" w:rsidR="00000000" w:rsidRPr="00000000">
        <w:rPr>
          <w:rFonts w:ascii="Calibri" w:cs="Calibri" w:eastAsia="Calibri" w:hAnsi="Calibri"/>
          <w:i w:val="1"/>
          <w:sz w:val="22"/>
          <w:szCs w:val="22"/>
          <w:rtl w:val="0"/>
        </w:rPr>
        <w:t xml:space="preserve">Financiën:</w:t>
      </w:r>
      <w:r w:rsidDel="00000000" w:rsidR="00000000" w:rsidRPr="00000000">
        <w:rPr>
          <w:rFonts w:ascii="Calibri" w:cs="Calibri" w:eastAsia="Calibri" w:hAnsi="Calibri"/>
          <w:b w:val="1"/>
          <w:i w:val="1"/>
          <w:sz w:val="22"/>
          <w:szCs w:val="22"/>
          <w:rtl w:val="0"/>
        </w:rPr>
        <w:t xml:space="preserve"> </w:t>
      </w:r>
      <w:r w:rsidDel="00000000" w:rsidR="00000000" w:rsidRPr="00000000">
        <w:rPr>
          <w:rFonts w:ascii="Calibri" w:cs="Calibri" w:eastAsia="Calibri" w:hAnsi="Calibri"/>
          <w:sz w:val="22"/>
          <w:szCs w:val="22"/>
          <w:rtl w:val="0"/>
        </w:rPr>
        <w:t xml:space="preserve">de begrotingskaders zijn besproken: de NPO gelden blijven besteedbaar, Amsteltaal ontvangt minder subsidie, de kosten samenschools en bovenschools blijven voorlopig gesplitst en de fusiekosten worden uitgesplitst en betaald uit het eigen vermogen van beide stichtingen. </w:t>
      </w:r>
    </w:p>
    <w:p w:rsidR="00000000" w:rsidDel="00000000" w:rsidP="00000000" w:rsidRDefault="00000000" w:rsidRPr="00000000" w14:paraId="00000046">
      <w:pPr>
        <w:tabs>
          <w:tab w:val="left" w:leader="none" w:pos="-1841.574803149607"/>
          <w:tab w:val="left" w:leader="none" w:pos="7230"/>
          <w:tab w:val="left" w:leader="none" w:pos="7507"/>
        </w:tabs>
        <w:ind w:left="0" w:firstLine="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47">
      <w:pPr>
        <w:tabs>
          <w:tab w:val="left" w:leader="none" w:pos="540"/>
          <w:tab w:val="left" w:leader="none" w:pos="847"/>
          <w:tab w:val="left" w:leader="none" w:pos="7230"/>
          <w:tab w:val="left" w:leader="none" w:pos="7507"/>
        </w:tabs>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Evaluatie GMR</w:t>
      </w:r>
    </w:p>
    <w:p w:rsidR="00000000" w:rsidDel="00000000" w:rsidP="00000000" w:rsidRDefault="00000000" w:rsidRPr="00000000" w14:paraId="00000048">
      <w:pPr>
        <w:tabs>
          <w:tab w:val="left" w:leader="none" w:pos="540"/>
          <w:tab w:val="left" w:leader="none" w:pos="-1996.7716535433067"/>
          <w:tab w:val="left" w:leader="none" w:pos="7230"/>
          <w:tab w:val="left" w:leader="none" w:pos="7507"/>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directeur-bestuurder geeft aan dat hij de GMR vergaderingen, het vooroverleg en de werkgroepen ervaart als kritisch, maar met een goede dialoog en </w:t>
      </w:r>
      <w:hyperlink r:id="rId9">
        <w:r w:rsidDel="00000000" w:rsidR="00000000" w:rsidRPr="00000000">
          <w:rPr>
            <w:rFonts w:ascii="Calibri" w:cs="Calibri" w:eastAsia="Calibri" w:hAnsi="Calibri"/>
            <w:sz w:val="22"/>
            <w:szCs w:val="22"/>
            <w:rtl w:val="0"/>
          </w:rPr>
          <w:t xml:space="preserve">interactie. D</w:t>
        </w:r>
      </w:hyperlink>
      <w:r w:rsidDel="00000000" w:rsidR="00000000" w:rsidRPr="00000000">
        <w:rPr>
          <w:rFonts w:ascii="Calibri" w:cs="Calibri" w:eastAsia="Calibri" w:hAnsi="Calibri"/>
          <w:sz w:val="22"/>
          <w:szCs w:val="22"/>
          <w:rtl w:val="0"/>
        </w:rPr>
        <w:t xml:space="preserve">e sfeer wordt door hem ervaren als constructief en prettig.  </w:t>
      </w:r>
    </w:p>
    <w:p w:rsidR="00000000" w:rsidDel="00000000" w:rsidP="00000000" w:rsidRDefault="00000000" w:rsidRPr="00000000" w14:paraId="00000049">
      <w:pPr>
        <w:tabs>
          <w:tab w:val="left" w:leader="none" w:pos="540"/>
          <w:tab w:val="left" w:leader="none" w:pos="-1996.7716535433067"/>
          <w:tab w:val="left" w:leader="none" w:pos="7230"/>
          <w:tab w:val="left" w:leader="none" w:pos="7507"/>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interactie tussen de werkgroepen en de GMR mag nog van hogere kwaliteit worden met een meer evenredige betrokkenheid. Alle stemmen mogen gezien en gehoord worden en iedereen moet zich veilig voelen om zich uit de spreken naar elkaar en naar de directeur-bestuurder. </w:t>
      </w:r>
    </w:p>
    <w:p w:rsidR="00000000" w:rsidDel="00000000" w:rsidP="00000000" w:rsidRDefault="00000000" w:rsidRPr="00000000" w14:paraId="0000004A">
      <w:pPr>
        <w:tabs>
          <w:tab w:val="left" w:leader="none" w:pos="540"/>
          <w:tab w:val="left" w:leader="none" w:pos="-1996.7716535433067"/>
          <w:tab w:val="left" w:leader="none" w:pos="7230"/>
          <w:tab w:val="left" w:leader="none" w:pos="7507"/>
        </w:tabs>
        <w:ind w:left="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4B">
      <w:pPr>
        <w:tabs>
          <w:tab w:val="left" w:leader="none" w:pos="540"/>
          <w:tab w:val="left" w:leader="none" w:pos="-1996.7716535433067"/>
          <w:tab w:val="left" w:leader="none" w:pos="7230"/>
          <w:tab w:val="left" w:leader="none" w:pos="7507"/>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Vanuit de GMR wordt aangegeven dat er goede vooruitgang geboekt wordt, snelle beslissingen worden genomen en er doorgepakt wordt. Er wordt heel veel positiefs gedaan.. De planning is goed, stukken komen op tijd en zijn meer inhoudelijk en beter leesbaar. Door de werkgroepen wordt de onderlinge betrokkenheid vergroot. De ene werkgroep functioneert beter dan de ander; dit komt door het aantal leden, ‘nieuwe’werkgroepen, de afkadering van onderwerpen en het ‘zoeken’ naar topics en beleidsstukken. De GMR kijkt met vertrouwen naar de samenwerking met Amstelland. </w:t>
      </w:r>
    </w:p>
    <w:p w:rsidR="00000000" w:rsidDel="00000000" w:rsidP="00000000" w:rsidRDefault="00000000" w:rsidRPr="00000000" w14:paraId="0000004C">
      <w:pPr>
        <w:tabs>
          <w:tab w:val="left" w:leader="none" w:pos="540"/>
          <w:tab w:val="left" w:leader="none" w:pos="-1996.7716535433067"/>
          <w:tab w:val="left" w:leader="none" w:pos="7230"/>
          <w:tab w:val="left" w:leader="none" w:pos="7507"/>
        </w:tabs>
        <w:ind w:left="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4D">
      <w:pPr>
        <w:tabs>
          <w:tab w:val="left" w:leader="none" w:pos="540"/>
          <w:tab w:val="left" w:leader="none" w:pos="-1996.7716535433067"/>
          <w:tab w:val="left" w:leader="none" w:pos="7230"/>
          <w:tab w:val="left" w:leader="none" w:pos="7507"/>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Als aandachtspunt wordt aangegeven dat onderwerpen die de directeur-bestuurder betreffen of om bovenschools beleid vragen, niet zonder hem besproken zouden moeten worden. Ook al komt het na het vooroverleg terug in de GMR. Aan de ander kant is het gesprek met elkaar, zonder directeur-bestuurder, ook nodig om na te denken en tot een mening te komen. Hoe over iemand gesproken wordt, moet op de juiste toon, met het juiste gevoel voor decorum gebeuren.</w:t>
      </w:r>
    </w:p>
    <w:p w:rsidR="00000000" w:rsidDel="00000000" w:rsidP="00000000" w:rsidRDefault="00000000" w:rsidRPr="00000000" w14:paraId="0000004E">
      <w:pPr>
        <w:tabs>
          <w:tab w:val="left" w:leader="none" w:pos="540"/>
          <w:tab w:val="left" w:leader="none" w:pos="-1996.7716535433067"/>
          <w:tab w:val="left" w:leader="none" w:pos="7230"/>
          <w:tab w:val="left" w:leader="none" w:pos="7507"/>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F">
      <w:pPr>
        <w:tabs>
          <w:tab w:val="left" w:leader="none" w:pos="540"/>
          <w:tab w:val="left" w:leader="none" w:pos="-1996.7716535433067"/>
          <w:tab w:val="left" w:leader="none" w:pos="7230"/>
          <w:tab w:val="left" w:leader="none" w:pos="7507"/>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directeur-bestuurder geeft aan dat het ook goed is om met elkaar over moreel ethische dilemma’s te spreken, zonder waarheidsvinding, om tot meningsvorming te kunnen komen als het echt spannend wordt. Hoe ga je om met deze kwesties die in de klas, in de MR, in de ouders, in ieders omgeving spelen?</w:t>
      </w:r>
    </w:p>
    <w:p w:rsidR="00000000" w:rsidDel="00000000" w:rsidP="00000000" w:rsidRDefault="00000000" w:rsidRPr="00000000" w14:paraId="00000050">
      <w:pPr>
        <w:tabs>
          <w:tab w:val="left" w:leader="none" w:pos="540"/>
          <w:tab w:val="left" w:leader="none" w:pos="-1996.7716535433067"/>
          <w:tab w:val="left" w:leader="none" w:pos="7230"/>
          <w:tab w:val="left" w:leader="none" w:pos="7507"/>
        </w:tabs>
        <w:ind w:left="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51">
      <w:pPr>
        <w:tabs>
          <w:tab w:val="left" w:leader="none" w:pos="540"/>
          <w:tab w:val="left" w:leader="none" w:pos="-1996.7716535433067"/>
          <w:tab w:val="left" w:leader="none" w:pos="7230"/>
          <w:tab w:val="left" w:leader="none" w:pos="7507"/>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GMR vergaderingen hebben een volle agenda met onderwerpen die tot het primaire GMR takenpakket horen. Aan het verzoek om het tijdpad beter te bewaken, op tijd te stoppen of een extra bijeenkomst in te lassen, zal gehoor worden gegeven.  </w:t>
      </w:r>
    </w:p>
    <w:p w:rsidR="00000000" w:rsidDel="00000000" w:rsidP="00000000" w:rsidRDefault="00000000" w:rsidRPr="00000000" w14:paraId="00000052">
      <w:pPr>
        <w:tabs>
          <w:tab w:val="left" w:leader="none" w:pos="540"/>
          <w:tab w:val="left" w:leader="none" w:pos="847"/>
          <w:tab w:val="left" w:leader="none" w:pos="7230"/>
          <w:tab w:val="left" w:leader="none" w:pos="7507"/>
        </w:tabs>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3">
      <w:pPr>
        <w:tabs>
          <w:tab w:val="left" w:leader="none" w:pos="-1841.574803149607"/>
          <w:tab w:val="left" w:leader="none" w:pos="7230"/>
          <w:tab w:val="left" w:leader="none" w:pos="7507"/>
        </w:tabs>
        <w:ind w:left="0" w:firstLine="0"/>
        <w:rPr>
          <w:rFonts w:ascii="Calibri" w:cs="Calibri" w:eastAsia="Calibri" w:hAnsi="Calibri"/>
          <w:b w:val="1"/>
          <w:sz w:val="22"/>
          <w:szCs w:val="22"/>
        </w:rPr>
      </w:pPr>
      <w:r w:rsidDel="00000000" w:rsidR="00000000" w:rsidRPr="00000000">
        <w:rPr>
          <w:rtl w:val="0"/>
        </w:rPr>
      </w:r>
    </w:p>
    <w:sectPr>
      <w:headerReference r:id="rId10" w:type="default"/>
      <w:headerReference r:id="rId11" w:type="even"/>
      <w:footerReference r:id="rId12" w:type="default"/>
      <w:footerReference r:id="rId13" w:type="even"/>
      <w:pgSz w:h="16838" w:w="11906" w:orient="portrait"/>
      <w:pgMar w:bottom="404" w:top="1700.7874015748032" w:left="1417"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hanging="357"/>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right="360" w:hanging="357"/>
      <w:rPr>
        <w:rFonts w:ascii="Arial" w:cs="Arial" w:eastAsia="Arial" w:hAnsi="Arial"/>
        <w:color w:val="000000"/>
        <w:sz w:val="21"/>
        <w:szCs w:val="2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hanging="357"/>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right="360" w:hanging="357"/>
      <w:rPr>
        <w:rFonts w:ascii="Arial" w:cs="Arial" w:eastAsia="Arial" w:hAnsi="Arial"/>
        <w:color w:val="000000"/>
        <w:sz w:val="21"/>
        <w:szCs w:val="2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tabs>
        <w:tab w:val="left" w:leader="none" w:pos="842"/>
        <w:tab w:val="left" w:leader="none" w:pos="7230"/>
        <w:tab w:val="left" w:leader="none" w:pos="7507"/>
      </w:tabs>
      <w:ind w:right="-14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36"/>
        <w:tab w:val="right" w:leader="none" w:pos="9072"/>
        <w:tab w:val="left" w:leader="none" w:pos="851"/>
        <w:tab w:val="center" w:leader="none" w:pos="4678"/>
        <w:tab w:val="right" w:leader="none" w:pos="9356"/>
      </w:tabs>
      <w:spacing w:line="276" w:lineRule="auto"/>
      <w:ind w:left="1616" w:hanging="357"/>
      <w:rPr>
        <w:rFonts w:ascii="Calibri" w:cs="Calibri" w:eastAsia="Calibri" w:hAnsi="Calibri"/>
        <w:color w:val="000000"/>
        <w:sz w:val="21"/>
        <w:szCs w:val="21"/>
      </w:rPr>
    </w:pPr>
    <w:r w:rsidDel="00000000" w:rsidR="00000000" w:rsidRPr="00000000">
      <w:rPr>
        <w:rFonts w:ascii="Arial" w:cs="Arial" w:eastAsia="Arial" w:hAnsi="Arial"/>
        <w:color w:val="000000"/>
        <w:sz w:val="21"/>
        <w:szCs w:val="21"/>
        <w:rtl w:val="0"/>
      </w:rPr>
      <w:tab/>
    </w:r>
    <w:r w:rsidDel="00000000" w:rsidR="00000000" w:rsidRPr="00000000">
      <w:rPr>
        <w:rFonts w:ascii="Calibri" w:cs="Calibri" w:eastAsia="Calibri" w:hAnsi="Calibri"/>
        <w:i w:val="1"/>
        <w:color w:val="000000"/>
        <w:sz w:val="21"/>
        <w:szCs w:val="21"/>
        <w:rtl w:val="0"/>
      </w:rPr>
      <w:t xml:space="preserve">GMR Amstelwijs, stichting voor openbaar primair onderwijs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36"/>
        <w:tab w:val="right" w:leader="none" w:pos="9072"/>
        <w:tab w:val="left" w:leader="none" w:pos="851"/>
        <w:tab w:val="center" w:leader="none" w:pos="4678"/>
        <w:tab w:val="right" w:leader="none" w:pos="9356"/>
      </w:tabs>
      <w:spacing w:line="276" w:lineRule="auto"/>
      <w:ind w:left="1616" w:hanging="357"/>
      <w:rPr>
        <w:rFonts w:ascii="Calibri" w:cs="Calibri" w:eastAsia="Calibri" w:hAnsi="Calibri"/>
        <w:color w:val="000000"/>
        <w:sz w:val="21"/>
        <w:szCs w:val="21"/>
      </w:rPr>
    </w:pPr>
    <w:r w:rsidDel="00000000" w:rsidR="00000000" w:rsidRPr="00000000">
      <w:rPr>
        <w:rFonts w:ascii="Arial" w:cs="Arial" w:eastAsia="Arial" w:hAnsi="Arial"/>
        <w:color w:val="000000"/>
        <w:sz w:val="21"/>
        <w:szCs w:val="21"/>
        <w:rtl w:val="0"/>
      </w:rPr>
      <w:tab/>
    </w:r>
    <w:r w:rsidDel="00000000" w:rsidR="00000000" w:rsidRPr="00000000">
      <w:rPr>
        <w:rFonts w:ascii="Calibri" w:cs="Calibri" w:eastAsia="Calibri" w:hAnsi="Calibri"/>
        <w:i w:val="1"/>
        <w:color w:val="000000"/>
        <w:sz w:val="21"/>
        <w:szCs w:val="21"/>
        <w:rtl w:val="0"/>
      </w:rPr>
      <w:t xml:space="preserve">GMR Amstelwijs, stichting voor openbaar primair onderwijs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nl-NL"/>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style>
  <w:style w:type="paragraph" w:styleId="Kop1">
    <w:name w:val="heading 1"/>
    <w:basedOn w:val="Standaard"/>
    <w:next w:val="Standaard"/>
    <w:uiPriority w:val="9"/>
    <w:qFormat w:val="1"/>
    <w:pPr>
      <w:keepNext w:val="1"/>
      <w:keepLines w:val="1"/>
      <w:spacing w:after="120" w:before="480"/>
      <w:outlineLvl w:val="0"/>
    </w:pPr>
    <w:rPr>
      <w:b w:val="1"/>
      <w:sz w:val="48"/>
      <w:szCs w:val="48"/>
    </w:rPr>
  </w:style>
  <w:style w:type="paragraph" w:styleId="Kop2">
    <w:name w:val="heading 2"/>
    <w:basedOn w:val="Standaard"/>
    <w:next w:val="Standaard"/>
    <w:uiPriority w:val="9"/>
    <w:semiHidden w:val="1"/>
    <w:unhideWhenUsed w:val="1"/>
    <w:qFormat w:val="1"/>
    <w:pPr>
      <w:keepNext w:val="1"/>
      <w:keepLines w:val="1"/>
      <w:spacing w:after="80" w:before="360"/>
      <w:outlineLvl w:val="1"/>
    </w:pPr>
    <w:rPr>
      <w:b w:val="1"/>
      <w:sz w:val="36"/>
      <w:szCs w:val="36"/>
    </w:rPr>
  </w:style>
  <w:style w:type="paragraph" w:styleId="Kop3">
    <w:name w:val="heading 3"/>
    <w:basedOn w:val="Standaard"/>
    <w:next w:val="Standaard"/>
    <w:uiPriority w:val="9"/>
    <w:semiHidden w:val="1"/>
    <w:unhideWhenUsed w:val="1"/>
    <w:qFormat w:val="1"/>
    <w:pPr>
      <w:keepNext w:val="1"/>
      <w:keepLines w:val="1"/>
      <w:spacing w:after="80" w:before="280"/>
      <w:outlineLvl w:val="2"/>
    </w:pPr>
    <w:rPr>
      <w:b w:val="1"/>
      <w:sz w:val="28"/>
      <w:szCs w:val="28"/>
    </w:rPr>
  </w:style>
  <w:style w:type="paragraph" w:styleId="Kop4">
    <w:name w:val="heading 4"/>
    <w:basedOn w:val="Standaard"/>
    <w:next w:val="Standaard"/>
    <w:uiPriority w:val="9"/>
    <w:semiHidden w:val="1"/>
    <w:unhideWhenUsed w:val="1"/>
    <w:qFormat w:val="1"/>
    <w:pPr>
      <w:keepNext w:val="1"/>
      <w:keepLines w:val="1"/>
      <w:spacing w:after="40" w:before="240"/>
      <w:outlineLvl w:val="3"/>
    </w:pPr>
    <w:rPr>
      <w:b w:val="1"/>
      <w:sz w:val="24"/>
      <w:szCs w:val="24"/>
    </w:rPr>
  </w:style>
  <w:style w:type="paragraph" w:styleId="Kop5">
    <w:name w:val="heading 5"/>
    <w:basedOn w:val="Standaard"/>
    <w:next w:val="Standaard"/>
    <w:uiPriority w:val="9"/>
    <w:semiHidden w:val="1"/>
    <w:unhideWhenUsed w:val="1"/>
    <w:qFormat w:val="1"/>
    <w:pPr>
      <w:keepNext w:val="1"/>
      <w:keepLines w:val="1"/>
      <w:spacing w:after="40" w:before="220"/>
      <w:outlineLvl w:val="4"/>
    </w:pPr>
    <w:rPr>
      <w:b w:val="1"/>
      <w:sz w:val="22"/>
      <w:szCs w:val="22"/>
    </w:rPr>
  </w:style>
  <w:style w:type="paragraph" w:styleId="Kop6">
    <w:name w:val="heading 6"/>
    <w:basedOn w:val="Standaard"/>
    <w:next w:val="Standaard"/>
    <w:uiPriority w:val="9"/>
    <w:semiHidden w:val="1"/>
    <w:unhideWhenUsed w:val="1"/>
    <w:qFormat w:val="1"/>
    <w:pPr>
      <w:keepNext w:val="1"/>
      <w:keepLines w:val="1"/>
      <w:spacing w:after="40" w:before="200"/>
      <w:outlineLvl w:val="5"/>
    </w:pPr>
    <w:rPr>
      <w:b w:val="1"/>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Ondertitel">
    <w:name w:val="Subtitle"/>
    <w:basedOn w:val="Standaard"/>
    <w:next w:val="Standaard"/>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character" w:styleId="Verwijzingopmerking">
    <w:name w:val="annotation reference"/>
    <w:basedOn w:val="Standaardalinea-lettertype"/>
    <w:uiPriority w:val="99"/>
    <w:semiHidden w:val="1"/>
    <w:unhideWhenUsed w:val="1"/>
    <w:rsid w:val="00C70170"/>
    <w:rPr>
      <w:sz w:val="16"/>
      <w:szCs w:val="16"/>
    </w:rPr>
  </w:style>
  <w:style w:type="paragraph" w:styleId="Tekstopmerking">
    <w:name w:val="annotation text"/>
    <w:basedOn w:val="Standaard"/>
    <w:link w:val="TekstopmerkingChar"/>
    <w:uiPriority w:val="99"/>
    <w:unhideWhenUsed w:val="1"/>
    <w:rsid w:val="00C70170"/>
  </w:style>
  <w:style w:type="character" w:styleId="TekstopmerkingChar" w:customStyle="1">
    <w:name w:val="Tekst opmerking Char"/>
    <w:basedOn w:val="Standaardalinea-lettertype"/>
    <w:link w:val="Tekstopmerking"/>
    <w:uiPriority w:val="99"/>
    <w:rsid w:val="00C70170"/>
  </w:style>
  <w:style w:type="paragraph" w:styleId="Onderwerpvanopmerking">
    <w:name w:val="annotation subject"/>
    <w:basedOn w:val="Tekstopmerking"/>
    <w:next w:val="Tekstopmerking"/>
    <w:link w:val="OnderwerpvanopmerkingChar"/>
    <w:uiPriority w:val="99"/>
    <w:semiHidden w:val="1"/>
    <w:unhideWhenUsed w:val="1"/>
    <w:rsid w:val="00C70170"/>
    <w:rPr>
      <w:b w:val="1"/>
      <w:bCs w:val="1"/>
    </w:rPr>
  </w:style>
  <w:style w:type="character" w:styleId="OnderwerpvanopmerkingChar" w:customStyle="1">
    <w:name w:val="Onderwerp van opmerking Char"/>
    <w:basedOn w:val="TekstopmerkingChar"/>
    <w:link w:val="Onderwerpvanopmerking"/>
    <w:uiPriority w:val="99"/>
    <w:semiHidden w:val="1"/>
    <w:rsid w:val="00C70170"/>
    <w:rPr>
      <w:b w:val="1"/>
      <w:bCs w:val="1"/>
    </w:rPr>
  </w:style>
  <w:style w:type="paragraph" w:styleId="Revisie">
    <w:name w:val="Revision"/>
    <w:hidden w:val="1"/>
    <w:uiPriority w:val="99"/>
    <w:semiHidden w:val="1"/>
    <w:rsid w:val="00E46201"/>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interactie.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directiefuncties.er" TargetMode="External"/><Relationship Id="rId8" Type="http://schemas.openxmlformats.org/officeDocument/2006/relationships/hyperlink" Target="http://directiefunctie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IZl9GqcjKhd8BMDnjN65Zzl1yg==">CgMxLjA4AHIhMXZiaDJpT3Y1d21CWVVxaXc2VWxHQXM5MG1iOVRLOWd3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2024-06-17T12:27:00Z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ScaleCrop">
    <vt:lpwstr>false</vt:lpwstr>
  </property>
  <property fmtid="{D5CDD505-2E9C-101B-9397-08002B2CF9AE}" pid="4" name="Company">
    <vt:lpwstr>Gemeente Amstelveen</vt:lpwstr>
  </property>
  <property fmtid="{D5CDD505-2E9C-101B-9397-08002B2CF9AE}" pid="5" name="DocSecurity">
    <vt:lpwstr>0</vt:lpwstr>
  </property>
  <property fmtid="{D5CDD505-2E9C-101B-9397-08002B2CF9AE}" pid="6" name="HyperlinksChanged">
    <vt:lpwstr>false</vt:lpwstr>
  </property>
  <property fmtid="{D5CDD505-2E9C-101B-9397-08002B2CF9AE}" pid="7" name="LinksUpToDate">
    <vt:lpwstr>false</vt:lpwstr>
  </property>
  <property fmtid="{D5CDD505-2E9C-101B-9397-08002B2CF9AE}" pid="8" name="ShareDoc">
    <vt:lpwstr>false</vt:lpwstr>
  </property>
</Properties>
</file>